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32B" w:rsidRPr="00A0424B" w:rsidRDefault="0095532B" w:rsidP="00642466">
      <w:pPr>
        <w:tabs>
          <w:tab w:val="left" w:pos="5670"/>
        </w:tabs>
        <w:jc w:val="center"/>
        <w:rPr>
          <w:lang w:val="en-US"/>
        </w:rPr>
      </w:pPr>
      <w:bookmarkStart w:id="0" w:name="_GoBack"/>
    </w:p>
    <w:p w:rsidR="0095532B" w:rsidRPr="00625871" w:rsidRDefault="00625871" w:rsidP="00625871">
      <w:pPr>
        <w:tabs>
          <w:tab w:val="left" w:pos="5670"/>
        </w:tabs>
        <w:jc w:val="center"/>
        <w:rPr>
          <w:b/>
          <w:lang w:val="bg-BG"/>
        </w:rPr>
      </w:pPr>
      <w:r w:rsidRPr="00625871">
        <w:rPr>
          <w:b/>
          <w:lang w:val="bg-BG"/>
        </w:rPr>
        <w:t>ЕВРОПЕЙСКИ СЪД ПО ПРАВАТА НА ЧОВЕКА</w:t>
      </w:r>
    </w:p>
    <w:p w:rsidR="00625871" w:rsidRPr="00625871" w:rsidRDefault="00625871" w:rsidP="00625871">
      <w:pPr>
        <w:tabs>
          <w:tab w:val="left" w:pos="5670"/>
        </w:tabs>
        <w:rPr>
          <w:szCs w:val="20"/>
          <w:lang w:val="bg-BG"/>
        </w:rPr>
      </w:pPr>
    </w:p>
    <w:p w:rsidR="0095532B" w:rsidRPr="00006A07" w:rsidRDefault="0095532B" w:rsidP="00CB2F40">
      <w:pPr>
        <w:tabs>
          <w:tab w:val="left" w:pos="5670"/>
        </w:tabs>
        <w:jc w:val="center"/>
        <w:rPr>
          <w:szCs w:val="20"/>
          <w:lang w:val="bg-BG"/>
        </w:rPr>
      </w:pPr>
    </w:p>
    <w:p w:rsidR="0095532B" w:rsidRPr="00006A07" w:rsidRDefault="0095532B" w:rsidP="00CB2F40">
      <w:pPr>
        <w:jc w:val="center"/>
        <w:rPr>
          <w:szCs w:val="20"/>
          <w:lang w:val="bg-BG"/>
        </w:rPr>
      </w:pPr>
      <w:r w:rsidRPr="00006A07">
        <w:rPr>
          <w:szCs w:val="20"/>
          <w:lang w:val="bg-BG"/>
        </w:rPr>
        <w:t>ЧЕТВЪРТО ОТДЕЛЕНИЕ</w:t>
      </w:r>
    </w:p>
    <w:p w:rsidR="0095532B" w:rsidRPr="00006A07" w:rsidRDefault="0095532B" w:rsidP="00CB2F40">
      <w:pPr>
        <w:jc w:val="center"/>
        <w:rPr>
          <w:szCs w:val="20"/>
          <w:lang w:val="bg-BG"/>
        </w:rPr>
      </w:pPr>
    </w:p>
    <w:p w:rsidR="0095532B" w:rsidRPr="00006A07" w:rsidRDefault="0095532B" w:rsidP="00625871">
      <w:pPr>
        <w:rPr>
          <w:szCs w:val="20"/>
          <w:lang w:val="bg-BG"/>
        </w:rPr>
      </w:pPr>
    </w:p>
    <w:p w:rsidR="0095532B" w:rsidRPr="00006A07" w:rsidRDefault="0095532B" w:rsidP="00CB2F40">
      <w:pPr>
        <w:jc w:val="center"/>
        <w:rPr>
          <w:szCs w:val="20"/>
          <w:lang w:val="bg-BG"/>
        </w:rPr>
      </w:pPr>
    </w:p>
    <w:p w:rsidR="0095532B" w:rsidRPr="00006A07" w:rsidRDefault="0095532B" w:rsidP="00CB2F40">
      <w:pPr>
        <w:jc w:val="center"/>
        <w:rPr>
          <w:b/>
          <w:szCs w:val="20"/>
          <w:lang w:val="bg-BG"/>
        </w:rPr>
      </w:pPr>
      <w:bookmarkStart w:id="1" w:name="To"/>
      <w:r w:rsidRPr="00006A07">
        <w:rPr>
          <w:b/>
          <w:szCs w:val="20"/>
          <w:lang w:val="bg-BG"/>
        </w:rPr>
        <w:t xml:space="preserve">ДЕЛО </w:t>
      </w:r>
      <w:bookmarkEnd w:id="1"/>
      <w:r w:rsidR="00625871">
        <w:rPr>
          <w:b/>
          <w:szCs w:val="20"/>
          <w:lang w:val="bg-BG"/>
        </w:rPr>
        <w:t>„</w:t>
      </w:r>
      <w:r w:rsidRPr="00006A07">
        <w:rPr>
          <w:b/>
          <w:szCs w:val="20"/>
          <w:lang w:val="bg-BG"/>
        </w:rPr>
        <w:t>ХРИСТОЗОВ И ДРУГИ срещу БЪЛГАРИЯ</w:t>
      </w:r>
      <w:r w:rsidR="00625871">
        <w:rPr>
          <w:b/>
          <w:szCs w:val="20"/>
          <w:lang w:val="bg-BG"/>
        </w:rPr>
        <w:t>“</w:t>
      </w:r>
    </w:p>
    <w:p w:rsidR="0095532B" w:rsidRPr="00006A07" w:rsidRDefault="0095532B" w:rsidP="00CB2F40">
      <w:pPr>
        <w:jc w:val="center"/>
        <w:rPr>
          <w:szCs w:val="20"/>
          <w:lang w:val="bg-BG"/>
        </w:rPr>
      </w:pPr>
    </w:p>
    <w:p w:rsidR="0095532B" w:rsidRPr="00006A07" w:rsidRDefault="0095532B" w:rsidP="00CB2F40">
      <w:pPr>
        <w:jc w:val="center"/>
        <w:rPr>
          <w:i/>
          <w:szCs w:val="20"/>
          <w:lang w:val="bg-BG"/>
        </w:rPr>
      </w:pPr>
      <w:r w:rsidRPr="00006A07">
        <w:rPr>
          <w:i/>
          <w:szCs w:val="20"/>
          <w:lang w:val="bg-BG"/>
        </w:rPr>
        <w:t>(Жалби №№ 47039/11 и 358/12)</w:t>
      </w:r>
    </w:p>
    <w:p w:rsidR="0095532B" w:rsidRPr="00006A07" w:rsidRDefault="0095532B" w:rsidP="00CB2F40">
      <w:pPr>
        <w:jc w:val="center"/>
        <w:rPr>
          <w:szCs w:val="20"/>
          <w:lang w:val="bg-BG"/>
        </w:rPr>
      </w:pPr>
    </w:p>
    <w:p w:rsidR="0095532B" w:rsidRPr="00006A07" w:rsidRDefault="0095532B" w:rsidP="00625871">
      <w:pPr>
        <w:rPr>
          <w:szCs w:val="20"/>
          <w:lang w:val="bg-BG"/>
        </w:rPr>
      </w:pPr>
    </w:p>
    <w:p w:rsidR="0095532B" w:rsidRPr="00006A07" w:rsidRDefault="0095532B" w:rsidP="00CB2F40">
      <w:pPr>
        <w:jc w:val="center"/>
        <w:rPr>
          <w:szCs w:val="20"/>
          <w:lang w:val="bg-BG"/>
        </w:rPr>
      </w:pPr>
    </w:p>
    <w:p w:rsidR="0095532B" w:rsidRPr="00006A07" w:rsidRDefault="0095532B" w:rsidP="00CB2F40">
      <w:pPr>
        <w:jc w:val="center"/>
        <w:rPr>
          <w:szCs w:val="20"/>
          <w:lang w:val="bg-BG"/>
        </w:rPr>
      </w:pPr>
      <w:r w:rsidRPr="00006A07">
        <w:rPr>
          <w:szCs w:val="20"/>
          <w:lang w:val="bg-BG"/>
        </w:rPr>
        <w:t>РЕШЕНИЕ</w:t>
      </w:r>
    </w:p>
    <w:p w:rsidR="0095532B" w:rsidRPr="00006A07" w:rsidRDefault="0095532B" w:rsidP="00CB2F40">
      <w:pPr>
        <w:jc w:val="center"/>
        <w:rPr>
          <w:sz w:val="22"/>
          <w:szCs w:val="22"/>
          <w:lang w:val="bg-BG"/>
        </w:rPr>
      </w:pPr>
    </w:p>
    <w:p w:rsidR="0095532B" w:rsidRPr="00006A07" w:rsidRDefault="0095532B" w:rsidP="00625871">
      <w:pPr>
        <w:rPr>
          <w:szCs w:val="20"/>
          <w:lang w:val="bg-BG"/>
        </w:rPr>
      </w:pPr>
    </w:p>
    <w:p w:rsidR="0095532B" w:rsidRPr="00006A07" w:rsidRDefault="0095532B" w:rsidP="00CB2F40">
      <w:pPr>
        <w:jc w:val="center"/>
        <w:rPr>
          <w:szCs w:val="20"/>
          <w:lang w:val="bg-BG"/>
        </w:rPr>
      </w:pPr>
    </w:p>
    <w:p w:rsidR="0095532B" w:rsidRPr="00006A07" w:rsidRDefault="0095532B" w:rsidP="00CB2F40">
      <w:pPr>
        <w:jc w:val="center"/>
        <w:rPr>
          <w:szCs w:val="20"/>
          <w:lang w:val="bg-BG"/>
        </w:rPr>
      </w:pPr>
      <w:r w:rsidRPr="00006A07">
        <w:rPr>
          <w:szCs w:val="20"/>
          <w:lang w:val="bg-BG"/>
        </w:rPr>
        <w:t>СТРАСБУРГ</w:t>
      </w:r>
    </w:p>
    <w:p w:rsidR="0095532B" w:rsidRPr="00006A07" w:rsidRDefault="0095532B" w:rsidP="00CB2F40">
      <w:pPr>
        <w:jc w:val="center"/>
        <w:rPr>
          <w:szCs w:val="20"/>
          <w:lang w:val="bg-BG"/>
        </w:rPr>
      </w:pPr>
    </w:p>
    <w:p w:rsidR="0095532B" w:rsidRPr="00006A07" w:rsidRDefault="0095532B" w:rsidP="00CB2F40">
      <w:pPr>
        <w:jc w:val="center"/>
        <w:rPr>
          <w:szCs w:val="20"/>
          <w:lang w:val="bg-BG"/>
        </w:rPr>
      </w:pPr>
      <w:r w:rsidRPr="00006A07">
        <w:rPr>
          <w:szCs w:val="20"/>
          <w:lang w:val="bg-BG"/>
        </w:rPr>
        <w:t>13 ноември 2012 г.</w:t>
      </w:r>
    </w:p>
    <w:p w:rsidR="0095532B" w:rsidRPr="00006A07" w:rsidRDefault="0095532B" w:rsidP="00CB2F40">
      <w:pPr>
        <w:jc w:val="center"/>
        <w:rPr>
          <w:szCs w:val="20"/>
          <w:lang w:val="bg-BG"/>
        </w:rPr>
      </w:pPr>
    </w:p>
    <w:p w:rsidR="0095532B" w:rsidRPr="00006A07" w:rsidRDefault="0095532B" w:rsidP="00CB2F40">
      <w:pPr>
        <w:jc w:val="center"/>
        <w:rPr>
          <w:szCs w:val="20"/>
          <w:lang w:val="bg-BG"/>
        </w:rPr>
      </w:pPr>
    </w:p>
    <w:p w:rsidR="0095532B" w:rsidRPr="00006A07" w:rsidRDefault="0095532B" w:rsidP="00CB2F40">
      <w:pPr>
        <w:rPr>
          <w:i/>
          <w:sz w:val="22"/>
          <w:szCs w:val="20"/>
          <w:lang w:val="bg-BG"/>
        </w:rPr>
      </w:pPr>
      <w:r w:rsidRPr="00006A07">
        <w:rPr>
          <w:i/>
          <w:sz w:val="22"/>
          <w:szCs w:val="20"/>
          <w:lang w:val="bg-BG"/>
        </w:rPr>
        <w:t>Това решение става окончателно при обстоятелствата по член 44, § 2 на Конвенцията. То може да бъде предмет на редакторска преработка.</w:t>
      </w:r>
    </w:p>
    <w:p w:rsidR="0095532B" w:rsidRPr="00006A07" w:rsidRDefault="0095532B" w:rsidP="00CB2F40">
      <w:pPr>
        <w:suppressAutoHyphens w:val="0"/>
        <w:ind w:firstLine="284"/>
        <w:jc w:val="both"/>
        <w:rPr>
          <w:b/>
          <w:szCs w:val="20"/>
          <w:lang w:val="bg-BG"/>
        </w:rPr>
        <w:sectPr w:rsidR="0095532B" w:rsidRPr="00006A07" w:rsidSect="00572B32">
          <w:headerReference w:type="even" r:id="rId8"/>
          <w:headerReference w:type="default" r:id="rId9"/>
          <w:footerReference w:type="even" r:id="rId10"/>
          <w:footerReference w:type="default" r:id="rId11"/>
          <w:headerReference w:type="first" r:id="rId12"/>
          <w:footerReference w:type="first" r:id="rId13"/>
          <w:footnotePr>
            <w:numRestart w:val="eachPage"/>
          </w:footnotePr>
          <w:type w:val="continuous"/>
          <w:pgSz w:w="11906" w:h="16838" w:code="9"/>
          <w:pgMar w:top="2274" w:right="2274" w:bottom="2274" w:left="2274" w:header="1701" w:footer="708" w:gutter="0"/>
          <w:pgNumType w:start="1"/>
          <w:cols w:space="708"/>
          <w:docGrid w:linePitch="326"/>
        </w:sectPr>
      </w:pPr>
    </w:p>
    <w:p w:rsidR="0095532B" w:rsidRPr="00006A07" w:rsidRDefault="0095532B" w:rsidP="00CB2F40">
      <w:pPr>
        <w:suppressAutoHyphens w:val="0"/>
        <w:ind w:firstLine="284"/>
        <w:jc w:val="both"/>
        <w:rPr>
          <w:b/>
          <w:szCs w:val="20"/>
          <w:lang w:val="bg-BG"/>
        </w:rPr>
      </w:pPr>
      <w:r w:rsidRPr="00006A07">
        <w:rPr>
          <w:b/>
          <w:szCs w:val="20"/>
          <w:lang w:val="bg-BG"/>
        </w:rPr>
        <w:lastRenderedPageBreak/>
        <w:t>По делото „Христозов и други срещу България“,</w:t>
      </w:r>
    </w:p>
    <w:p w:rsidR="0095532B" w:rsidRPr="00006A07" w:rsidRDefault="0095532B" w:rsidP="00CB2F40">
      <w:pPr>
        <w:suppressAutoHyphens w:val="0"/>
        <w:ind w:firstLine="284"/>
        <w:jc w:val="both"/>
        <w:rPr>
          <w:szCs w:val="20"/>
          <w:lang w:val="bg-BG"/>
        </w:rPr>
      </w:pPr>
      <w:r w:rsidRPr="00006A07">
        <w:rPr>
          <w:szCs w:val="20"/>
          <w:lang w:val="bg-BG"/>
        </w:rPr>
        <w:t>Европейският съд по правата на човека (Четвърто отделение), на заседание в състав:</w:t>
      </w:r>
    </w:p>
    <w:p w:rsidR="0095532B" w:rsidRPr="00006A07" w:rsidRDefault="0095532B" w:rsidP="00CB2F40">
      <w:pPr>
        <w:tabs>
          <w:tab w:val="left" w:pos="567"/>
          <w:tab w:val="left" w:pos="1134"/>
        </w:tabs>
        <w:suppressAutoHyphens w:val="0"/>
        <w:rPr>
          <w:szCs w:val="20"/>
          <w:lang w:val="bg-BG"/>
        </w:rPr>
      </w:pPr>
      <w:r w:rsidRPr="00006A07">
        <w:rPr>
          <w:szCs w:val="20"/>
          <w:lang w:val="bg-BG"/>
        </w:rPr>
        <w:tab/>
        <w:t xml:space="preserve">Лех </w:t>
      </w:r>
      <w:proofErr w:type="spellStart"/>
      <w:r w:rsidRPr="00006A07">
        <w:rPr>
          <w:szCs w:val="20"/>
          <w:lang w:val="bg-BG"/>
        </w:rPr>
        <w:t>Гарлицки</w:t>
      </w:r>
      <w:proofErr w:type="spellEnd"/>
      <w:r w:rsidRPr="00006A07">
        <w:rPr>
          <w:szCs w:val="20"/>
          <w:lang w:val="bg-BG"/>
        </w:rPr>
        <w:t xml:space="preserve">, </w:t>
      </w:r>
      <w:r w:rsidRPr="00006A07">
        <w:rPr>
          <w:i/>
          <w:szCs w:val="20"/>
          <w:lang w:val="bg-BG"/>
        </w:rPr>
        <w:t>Председател</w:t>
      </w:r>
      <w:r w:rsidRPr="00006A07">
        <w:rPr>
          <w:szCs w:val="20"/>
          <w:lang w:val="bg-BG"/>
        </w:rPr>
        <w:t>,</w:t>
      </w:r>
      <w:r w:rsidRPr="00006A07">
        <w:rPr>
          <w:szCs w:val="20"/>
          <w:lang w:val="bg-BG"/>
        </w:rPr>
        <w:br/>
      </w:r>
      <w:r w:rsidRPr="00006A07">
        <w:rPr>
          <w:szCs w:val="20"/>
          <w:lang w:val="bg-BG"/>
        </w:rPr>
        <w:tab/>
        <w:t xml:space="preserve">Давид Тор </w:t>
      </w:r>
      <w:proofErr w:type="spellStart"/>
      <w:r w:rsidRPr="00006A07">
        <w:rPr>
          <w:szCs w:val="20"/>
          <w:lang w:val="bg-BG"/>
        </w:rPr>
        <w:t>Бьоргвинсон</w:t>
      </w:r>
      <w:proofErr w:type="spellEnd"/>
      <w:r w:rsidRPr="00006A07">
        <w:rPr>
          <w:szCs w:val="20"/>
          <w:lang w:val="bg-BG"/>
        </w:rPr>
        <w:t>,</w:t>
      </w:r>
      <w:r w:rsidRPr="00006A07">
        <w:rPr>
          <w:i/>
          <w:szCs w:val="20"/>
          <w:lang w:val="bg-BG"/>
        </w:rPr>
        <w:br/>
      </w:r>
      <w:r w:rsidRPr="00006A07">
        <w:rPr>
          <w:szCs w:val="20"/>
          <w:lang w:val="bg-BG"/>
        </w:rPr>
        <w:tab/>
      </w:r>
      <w:proofErr w:type="spellStart"/>
      <w:r w:rsidRPr="00006A07">
        <w:rPr>
          <w:szCs w:val="20"/>
          <w:lang w:val="bg-BG"/>
        </w:rPr>
        <w:t>Пайви</w:t>
      </w:r>
      <w:proofErr w:type="spellEnd"/>
      <w:r w:rsidRPr="00006A07">
        <w:rPr>
          <w:szCs w:val="20"/>
          <w:lang w:val="bg-BG"/>
        </w:rPr>
        <w:t xml:space="preserve"> </w:t>
      </w:r>
      <w:proofErr w:type="spellStart"/>
      <w:r w:rsidRPr="00006A07">
        <w:rPr>
          <w:szCs w:val="20"/>
          <w:lang w:val="bg-BG"/>
        </w:rPr>
        <w:t>Хирвела</w:t>
      </w:r>
      <w:proofErr w:type="spellEnd"/>
      <w:r w:rsidRPr="00006A07">
        <w:rPr>
          <w:szCs w:val="20"/>
          <w:lang w:val="bg-BG"/>
        </w:rPr>
        <w:t>,</w:t>
      </w:r>
      <w:r w:rsidRPr="00006A07">
        <w:rPr>
          <w:i/>
          <w:szCs w:val="20"/>
          <w:lang w:val="bg-BG"/>
        </w:rPr>
        <w:br/>
      </w:r>
      <w:r w:rsidRPr="00006A07">
        <w:rPr>
          <w:szCs w:val="20"/>
          <w:lang w:val="bg-BG"/>
        </w:rPr>
        <w:tab/>
      </w:r>
      <w:proofErr w:type="spellStart"/>
      <w:r w:rsidRPr="00006A07">
        <w:rPr>
          <w:szCs w:val="20"/>
          <w:lang w:val="bg-BG"/>
        </w:rPr>
        <w:t>Георге</w:t>
      </w:r>
      <w:proofErr w:type="spellEnd"/>
      <w:r w:rsidRPr="00006A07">
        <w:rPr>
          <w:szCs w:val="20"/>
          <w:lang w:val="bg-BG"/>
        </w:rPr>
        <w:t xml:space="preserve"> </w:t>
      </w:r>
      <w:proofErr w:type="spellStart"/>
      <w:r w:rsidRPr="00006A07">
        <w:rPr>
          <w:szCs w:val="20"/>
          <w:lang w:val="bg-BG"/>
        </w:rPr>
        <w:t>Николау</w:t>
      </w:r>
      <w:proofErr w:type="spellEnd"/>
      <w:r w:rsidRPr="00006A07">
        <w:rPr>
          <w:szCs w:val="20"/>
          <w:lang w:val="bg-BG"/>
        </w:rPr>
        <w:t>,</w:t>
      </w:r>
    </w:p>
    <w:p w:rsidR="0095532B" w:rsidRPr="00006A07" w:rsidRDefault="0095532B" w:rsidP="00CB2F40">
      <w:pPr>
        <w:tabs>
          <w:tab w:val="left" w:pos="567"/>
          <w:tab w:val="left" w:pos="1134"/>
        </w:tabs>
        <w:suppressAutoHyphens w:val="0"/>
        <w:rPr>
          <w:szCs w:val="20"/>
          <w:lang w:val="bg-BG"/>
        </w:rPr>
      </w:pPr>
      <w:r w:rsidRPr="00006A07">
        <w:rPr>
          <w:szCs w:val="20"/>
          <w:lang w:val="bg-BG"/>
        </w:rPr>
        <w:tab/>
        <w:t>Здравка Калайджиева,</w:t>
      </w:r>
      <w:r w:rsidRPr="00006A07">
        <w:rPr>
          <w:szCs w:val="20"/>
          <w:lang w:val="bg-BG"/>
        </w:rPr>
        <w:br/>
      </w:r>
      <w:r w:rsidRPr="00006A07">
        <w:rPr>
          <w:szCs w:val="20"/>
          <w:lang w:val="bg-BG"/>
        </w:rPr>
        <w:tab/>
      </w:r>
      <w:proofErr w:type="spellStart"/>
      <w:r w:rsidRPr="00006A07">
        <w:rPr>
          <w:szCs w:val="20"/>
          <w:lang w:val="bg-BG"/>
        </w:rPr>
        <w:t>Небойша</w:t>
      </w:r>
      <w:proofErr w:type="spellEnd"/>
      <w:r w:rsidRPr="00006A07">
        <w:rPr>
          <w:szCs w:val="20"/>
          <w:lang w:val="bg-BG"/>
        </w:rPr>
        <w:t xml:space="preserve"> </w:t>
      </w:r>
      <w:proofErr w:type="spellStart"/>
      <w:r w:rsidRPr="00006A07">
        <w:rPr>
          <w:szCs w:val="20"/>
          <w:lang w:val="bg-BG"/>
        </w:rPr>
        <w:t>Вучинич</w:t>
      </w:r>
      <w:proofErr w:type="spellEnd"/>
      <w:r w:rsidRPr="00006A07">
        <w:rPr>
          <w:szCs w:val="20"/>
          <w:lang w:val="bg-BG"/>
        </w:rPr>
        <w:t>,</w:t>
      </w:r>
      <w:r w:rsidRPr="00006A07">
        <w:rPr>
          <w:i/>
          <w:szCs w:val="20"/>
          <w:lang w:val="bg-BG"/>
        </w:rPr>
        <w:br/>
      </w:r>
      <w:r w:rsidRPr="00006A07">
        <w:rPr>
          <w:szCs w:val="20"/>
          <w:lang w:val="bg-BG"/>
        </w:rPr>
        <w:lastRenderedPageBreak/>
        <w:tab/>
        <w:t xml:space="preserve">Винсент А. Де </w:t>
      </w:r>
      <w:proofErr w:type="spellStart"/>
      <w:r w:rsidRPr="00006A07">
        <w:rPr>
          <w:szCs w:val="20"/>
          <w:lang w:val="bg-BG"/>
        </w:rPr>
        <w:t>Гаетано</w:t>
      </w:r>
      <w:proofErr w:type="spellEnd"/>
      <w:r w:rsidRPr="00006A07">
        <w:rPr>
          <w:i/>
          <w:szCs w:val="20"/>
          <w:lang w:val="bg-BG"/>
        </w:rPr>
        <w:t xml:space="preserve"> съдии</w:t>
      </w:r>
      <w:r w:rsidRPr="00006A07">
        <w:rPr>
          <w:szCs w:val="20"/>
          <w:lang w:val="bg-BG"/>
        </w:rPr>
        <w:t>,</w:t>
      </w:r>
      <w:r w:rsidRPr="00006A07">
        <w:rPr>
          <w:szCs w:val="20"/>
          <w:lang w:val="bg-BG"/>
        </w:rPr>
        <w:br/>
        <w:t xml:space="preserve">и </w:t>
      </w:r>
      <w:proofErr w:type="spellStart"/>
      <w:r w:rsidRPr="00006A07">
        <w:rPr>
          <w:szCs w:val="20"/>
          <w:lang w:val="bg-BG"/>
        </w:rPr>
        <w:t>Лоурънс</w:t>
      </w:r>
      <w:proofErr w:type="spellEnd"/>
      <w:r w:rsidRPr="00006A07">
        <w:rPr>
          <w:szCs w:val="20"/>
          <w:lang w:val="bg-BG"/>
        </w:rPr>
        <w:t xml:space="preserve"> </w:t>
      </w:r>
      <w:proofErr w:type="spellStart"/>
      <w:r w:rsidRPr="00006A07">
        <w:rPr>
          <w:szCs w:val="20"/>
          <w:lang w:val="bg-BG"/>
        </w:rPr>
        <w:t>Ърли</w:t>
      </w:r>
      <w:proofErr w:type="spellEnd"/>
      <w:r w:rsidRPr="00006A07">
        <w:rPr>
          <w:szCs w:val="20"/>
          <w:lang w:val="bg-BG"/>
        </w:rPr>
        <w:t xml:space="preserve">, </w:t>
      </w:r>
      <w:r w:rsidRPr="00006A07">
        <w:rPr>
          <w:i/>
          <w:szCs w:val="20"/>
          <w:lang w:val="bg-BG"/>
        </w:rPr>
        <w:t>Секретар на отделението,</w:t>
      </w:r>
    </w:p>
    <w:p w:rsidR="0095532B" w:rsidRPr="00006A07" w:rsidRDefault="0095532B" w:rsidP="00CB2F40">
      <w:pPr>
        <w:suppressAutoHyphens w:val="0"/>
        <w:ind w:firstLine="284"/>
        <w:jc w:val="both"/>
        <w:rPr>
          <w:szCs w:val="20"/>
          <w:lang w:val="bg-BG"/>
        </w:rPr>
      </w:pPr>
      <w:r w:rsidRPr="00006A07">
        <w:rPr>
          <w:szCs w:val="20"/>
          <w:lang w:val="bg-BG"/>
        </w:rPr>
        <w:t>След като заседава при закрити врата на 9 октомври 2012 г.,</w:t>
      </w:r>
    </w:p>
    <w:p w:rsidR="0095532B" w:rsidRPr="00006A07" w:rsidRDefault="0095532B" w:rsidP="00CB2F40">
      <w:pPr>
        <w:suppressAutoHyphens w:val="0"/>
        <w:ind w:firstLine="284"/>
        <w:jc w:val="both"/>
        <w:rPr>
          <w:szCs w:val="20"/>
          <w:lang w:val="bg-BG"/>
        </w:rPr>
      </w:pPr>
      <w:r w:rsidRPr="00006A07">
        <w:rPr>
          <w:szCs w:val="20"/>
          <w:lang w:val="bg-BG"/>
        </w:rPr>
        <w:t>постанови следното решение, прието на указаната по-горе дата:</w:t>
      </w:r>
    </w:p>
    <w:p w:rsidR="0095532B" w:rsidRPr="00006A07" w:rsidRDefault="0095532B" w:rsidP="00CB2F40">
      <w:pPr>
        <w:keepNext/>
        <w:keepLines/>
        <w:suppressAutoHyphens w:val="0"/>
        <w:spacing w:before="720" w:after="240"/>
        <w:jc w:val="both"/>
        <w:outlineLvl w:val="0"/>
        <w:rPr>
          <w:sz w:val="28"/>
          <w:szCs w:val="20"/>
          <w:lang w:val="bg-BG"/>
        </w:rPr>
      </w:pPr>
      <w:r w:rsidRPr="00006A07">
        <w:rPr>
          <w:sz w:val="28"/>
          <w:szCs w:val="20"/>
          <w:lang w:val="bg-BG"/>
        </w:rPr>
        <w:t>ПРОЦЕДУРА</w:t>
      </w:r>
    </w:p>
    <w:p w:rsidR="0095532B" w:rsidRPr="00006A07" w:rsidRDefault="0095532B" w:rsidP="00CB2F40">
      <w:pPr>
        <w:suppressAutoHyphens w:val="0"/>
        <w:ind w:firstLine="284"/>
        <w:jc w:val="both"/>
        <w:rPr>
          <w:szCs w:val="20"/>
          <w:lang w:val="bg-BG"/>
        </w:rPr>
      </w:pPr>
      <w:r w:rsidRPr="00006A07">
        <w:rPr>
          <w:szCs w:val="20"/>
          <w:lang w:val="bg-BG"/>
        </w:rPr>
        <w:fldChar w:fldCharType="begin"/>
      </w:r>
      <w:r w:rsidRPr="00006A07">
        <w:rPr>
          <w:szCs w:val="20"/>
          <w:lang w:val="bg-BG"/>
        </w:rPr>
        <w:instrText xml:space="preserve"> SEQ level0 \*arabic </w:instrText>
      </w:r>
      <w:r w:rsidRPr="00006A07">
        <w:rPr>
          <w:szCs w:val="20"/>
          <w:lang w:val="bg-BG"/>
        </w:rPr>
        <w:fldChar w:fldCharType="separate"/>
      </w:r>
      <w:r w:rsidRPr="00006A07">
        <w:rPr>
          <w:noProof/>
          <w:szCs w:val="20"/>
          <w:lang w:val="bg-BG"/>
        </w:rPr>
        <w:t>1</w:t>
      </w:r>
      <w:r w:rsidRPr="00006A07">
        <w:rPr>
          <w:szCs w:val="20"/>
          <w:lang w:val="bg-BG"/>
        </w:rPr>
        <w:fldChar w:fldCharType="end"/>
      </w:r>
      <w:r w:rsidRPr="00006A07">
        <w:rPr>
          <w:szCs w:val="20"/>
          <w:lang w:val="bg-BG"/>
        </w:rPr>
        <w:t xml:space="preserve">.  Делото е заведено по две жалби (№№ 47039/11 и 359/12) срещу Република България, подадена в Съда на основание на член 34 от Конвенцията за защита на правата на човека и основните свободи („Конвенцията“) от десет български граждани, г-н Запрян Христозов </w:t>
      </w:r>
      <w:proofErr w:type="spellStart"/>
      <w:r w:rsidRPr="00006A07">
        <w:rPr>
          <w:szCs w:val="20"/>
          <w:lang w:val="bg-BG"/>
        </w:rPr>
        <w:t>Христозов</w:t>
      </w:r>
      <w:proofErr w:type="spellEnd"/>
      <w:r w:rsidRPr="00006A07">
        <w:rPr>
          <w:szCs w:val="20"/>
          <w:lang w:val="bg-BG"/>
        </w:rPr>
        <w:t xml:space="preserve">, г-жа Анна </w:t>
      </w:r>
      <w:proofErr w:type="spellStart"/>
      <w:r w:rsidRPr="00006A07">
        <w:rPr>
          <w:szCs w:val="20"/>
          <w:lang w:val="bg-BG"/>
        </w:rPr>
        <w:t>Стайкова-Петерман</w:t>
      </w:r>
      <w:proofErr w:type="spellEnd"/>
      <w:r w:rsidRPr="00006A07">
        <w:rPr>
          <w:szCs w:val="20"/>
          <w:lang w:val="bg-BG"/>
        </w:rPr>
        <w:t xml:space="preserve">, г-жа Боянка Цветкова Мишева, г-н Петър Димитров Петров, г-жа Кръстинка Маринова Пенчева, г-жа Тана Танкова </w:t>
      </w:r>
      <w:proofErr w:type="spellStart"/>
      <w:r w:rsidRPr="00006A07">
        <w:rPr>
          <w:szCs w:val="20"/>
          <w:lang w:val="bg-BG"/>
        </w:rPr>
        <w:t>Гавадинова</w:t>
      </w:r>
      <w:proofErr w:type="spellEnd"/>
      <w:r w:rsidRPr="00006A07">
        <w:rPr>
          <w:szCs w:val="20"/>
          <w:lang w:val="bg-BG"/>
        </w:rPr>
        <w:t xml:space="preserve">, г-жа Благовеста Веселинова Стоянова, г-н Шефка Сюлейманов </w:t>
      </w:r>
      <w:proofErr w:type="spellStart"/>
      <w:r w:rsidRPr="00006A07">
        <w:rPr>
          <w:szCs w:val="20"/>
          <w:lang w:val="bg-BG"/>
        </w:rPr>
        <w:t>Гюзелев</w:t>
      </w:r>
      <w:proofErr w:type="spellEnd"/>
      <w:r w:rsidRPr="00006A07">
        <w:rPr>
          <w:szCs w:val="20"/>
          <w:lang w:val="bg-BG"/>
        </w:rPr>
        <w:t xml:space="preserve">, г-н Йордан Борисов </w:t>
      </w:r>
      <w:proofErr w:type="spellStart"/>
      <w:r w:rsidRPr="00006A07">
        <w:rPr>
          <w:szCs w:val="20"/>
          <w:lang w:val="bg-BG"/>
        </w:rPr>
        <w:t>Тенекев</w:t>
      </w:r>
      <w:proofErr w:type="spellEnd"/>
      <w:r w:rsidRPr="00006A07">
        <w:rPr>
          <w:szCs w:val="20"/>
          <w:lang w:val="bg-BG"/>
        </w:rPr>
        <w:t xml:space="preserve"> и г-н Давид </w:t>
      </w:r>
      <w:proofErr w:type="spellStart"/>
      <w:r w:rsidRPr="00006A07">
        <w:rPr>
          <w:szCs w:val="20"/>
          <w:lang w:val="bg-BG"/>
        </w:rPr>
        <w:t>Сабатай</w:t>
      </w:r>
      <w:proofErr w:type="spellEnd"/>
      <w:r w:rsidRPr="00006A07">
        <w:rPr>
          <w:szCs w:val="20"/>
          <w:lang w:val="bg-BG"/>
        </w:rPr>
        <w:t xml:space="preserve"> Бехар („жалбоподателите“), съответно на 15 юли 2011 г. и 5 декември 2011 г.</w:t>
      </w:r>
    </w:p>
    <w:p w:rsidR="0095532B" w:rsidRPr="00006A07" w:rsidRDefault="0095532B" w:rsidP="00CB2F40">
      <w:pPr>
        <w:suppressAutoHyphens w:val="0"/>
        <w:ind w:firstLine="284"/>
        <w:jc w:val="both"/>
        <w:rPr>
          <w:szCs w:val="20"/>
          <w:lang w:val="bg-BG"/>
        </w:rPr>
      </w:pPr>
      <w:r w:rsidRPr="00006A07">
        <w:rPr>
          <w:szCs w:val="20"/>
          <w:lang w:val="bg-BG"/>
        </w:rPr>
        <w:fldChar w:fldCharType="begin"/>
      </w:r>
      <w:r w:rsidRPr="00006A07">
        <w:rPr>
          <w:szCs w:val="20"/>
          <w:lang w:val="bg-BG"/>
        </w:rPr>
        <w:instrText xml:space="preserve"> SEQ level0 \*arabic </w:instrText>
      </w:r>
      <w:r w:rsidRPr="00006A07">
        <w:rPr>
          <w:szCs w:val="20"/>
          <w:lang w:val="bg-BG"/>
        </w:rPr>
        <w:fldChar w:fldCharType="separate"/>
      </w:r>
      <w:r w:rsidRPr="00006A07">
        <w:rPr>
          <w:noProof/>
          <w:szCs w:val="20"/>
          <w:lang w:val="bg-BG"/>
        </w:rPr>
        <w:t>2</w:t>
      </w:r>
      <w:r w:rsidRPr="00006A07">
        <w:rPr>
          <w:szCs w:val="20"/>
          <w:lang w:val="bg-BG"/>
        </w:rPr>
        <w:fldChar w:fldCharType="end"/>
      </w:r>
      <w:r w:rsidRPr="00006A07">
        <w:rPr>
          <w:szCs w:val="20"/>
          <w:lang w:val="bg-BG"/>
        </w:rPr>
        <w:t xml:space="preserve">.  Жалбоподателите са представлявани от г-н M. </w:t>
      </w:r>
      <w:proofErr w:type="spellStart"/>
      <w:r w:rsidRPr="00006A07">
        <w:rPr>
          <w:szCs w:val="20"/>
          <w:lang w:val="bg-BG"/>
        </w:rPr>
        <w:t>Екимджиев</w:t>
      </w:r>
      <w:proofErr w:type="spellEnd"/>
      <w:r w:rsidRPr="00006A07">
        <w:rPr>
          <w:szCs w:val="20"/>
          <w:lang w:val="bg-BG"/>
        </w:rPr>
        <w:t xml:space="preserve">, г-жа К. Бончева и г-жа Г. </w:t>
      </w:r>
      <w:proofErr w:type="spellStart"/>
      <w:r w:rsidRPr="00006A07">
        <w:rPr>
          <w:szCs w:val="20"/>
          <w:lang w:val="bg-BG"/>
        </w:rPr>
        <w:t>Черничерска</w:t>
      </w:r>
      <w:proofErr w:type="spellEnd"/>
      <w:r w:rsidRPr="00006A07">
        <w:rPr>
          <w:szCs w:val="20"/>
          <w:lang w:val="bg-BG"/>
        </w:rPr>
        <w:t>, адвокати, практикуващи в Пловдив. Българското правителство („Правителството“) е представлявано от своя агент, г-жа Н. Николова от Министерство на правосъдието.</w:t>
      </w:r>
    </w:p>
    <w:p w:rsidR="0095532B" w:rsidRPr="00006A07" w:rsidRDefault="0095532B" w:rsidP="00CB2F40">
      <w:pPr>
        <w:suppressAutoHyphens w:val="0"/>
        <w:ind w:firstLine="284"/>
        <w:jc w:val="both"/>
        <w:rPr>
          <w:szCs w:val="20"/>
          <w:lang w:val="bg-BG"/>
        </w:rPr>
      </w:pPr>
      <w:r w:rsidRPr="00006A07">
        <w:rPr>
          <w:szCs w:val="20"/>
          <w:lang w:val="bg-BG"/>
        </w:rPr>
        <w:fldChar w:fldCharType="begin"/>
      </w:r>
      <w:r w:rsidRPr="00006A07">
        <w:rPr>
          <w:szCs w:val="20"/>
          <w:lang w:val="bg-BG"/>
        </w:rPr>
        <w:instrText xml:space="preserve"> SEQ level0 \*arabic </w:instrText>
      </w:r>
      <w:r w:rsidRPr="00006A07">
        <w:rPr>
          <w:szCs w:val="20"/>
          <w:lang w:val="bg-BG"/>
        </w:rPr>
        <w:fldChar w:fldCharType="separate"/>
      </w:r>
      <w:r w:rsidRPr="00006A07">
        <w:rPr>
          <w:noProof/>
          <w:szCs w:val="20"/>
          <w:lang w:val="bg-BG"/>
        </w:rPr>
        <w:t>3</w:t>
      </w:r>
      <w:r w:rsidRPr="00006A07">
        <w:rPr>
          <w:szCs w:val="20"/>
          <w:lang w:val="bg-BG"/>
        </w:rPr>
        <w:fldChar w:fldCharType="end"/>
      </w:r>
      <w:r w:rsidRPr="00006A07">
        <w:rPr>
          <w:szCs w:val="20"/>
          <w:lang w:val="bg-BG"/>
        </w:rPr>
        <w:t>.  Жалбоподателите твърдят по-специално, че отказът на властите да им разрешат да използват експериментален медицински продукт, който те са искали да им бъде даван под формата на „</w:t>
      </w:r>
      <w:proofErr w:type="spellStart"/>
      <w:r w:rsidRPr="00006A07">
        <w:rPr>
          <w:szCs w:val="20"/>
          <w:lang w:val="bg-BG"/>
        </w:rPr>
        <w:t>палиативна</w:t>
      </w:r>
      <w:proofErr w:type="spellEnd"/>
      <w:r w:rsidRPr="00006A07">
        <w:rPr>
          <w:szCs w:val="20"/>
          <w:lang w:val="bg-BG"/>
        </w:rPr>
        <w:t xml:space="preserve"> употреба“, е в нарушение на правото им на живот, представлява нечовешко и унизително отношение и е в нарушение на техния личен и семеен живот. Те твърдят също така, че не са разполагали с ефикасно правно средство за защита във връзка с това.</w:t>
      </w:r>
    </w:p>
    <w:bookmarkStart w:id="2" w:name="P_applicants_heirs"/>
    <w:p w:rsidR="0095532B" w:rsidRPr="00006A07" w:rsidRDefault="0095532B" w:rsidP="00CB2F40">
      <w:pPr>
        <w:suppressAutoHyphens w:val="0"/>
        <w:ind w:firstLine="284"/>
        <w:jc w:val="both"/>
        <w:rPr>
          <w:szCs w:val="20"/>
          <w:lang w:val="bg-BG"/>
        </w:rPr>
      </w:pPr>
      <w:r w:rsidRPr="00006A07">
        <w:rPr>
          <w:szCs w:val="20"/>
          <w:lang w:val="bg-BG"/>
        </w:rPr>
        <w:fldChar w:fldCharType="begin"/>
      </w:r>
      <w:r w:rsidRPr="00006A07">
        <w:rPr>
          <w:szCs w:val="20"/>
          <w:lang w:val="bg-BG"/>
        </w:rPr>
        <w:instrText xml:space="preserve"> SEQ level0 \*arabic </w:instrText>
      </w:r>
      <w:r w:rsidRPr="00006A07">
        <w:rPr>
          <w:szCs w:val="20"/>
          <w:lang w:val="bg-BG"/>
        </w:rPr>
        <w:fldChar w:fldCharType="separate"/>
      </w:r>
      <w:r w:rsidRPr="00006A07">
        <w:rPr>
          <w:noProof/>
          <w:szCs w:val="20"/>
          <w:lang w:val="bg-BG"/>
        </w:rPr>
        <w:t>4</w:t>
      </w:r>
      <w:r w:rsidRPr="00006A07">
        <w:rPr>
          <w:szCs w:val="20"/>
          <w:lang w:val="bg-BG"/>
        </w:rPr>
        <w:fldChar w:fldCharType="end"/>
      </w:r>
      <w:bookmarkEnd w:id="2"/>
      <w:r w:rsidRPr="00006A07">
        <w:rPr>
          <w:szCs w:val="20"/>
          <w:lang w:val="bg-BG"/>
        </w:rPr>
        <w:t xml:space="preserve">.  На 31 август 2011 г. умира г-н Христозов. Неговите майка и баща, които са и негови законни наследници, г-жа </w:t>
      </w:r>
      <w:proofErr w:type="spellStart"/>
      <w:r w:rsidRPr="00006A07">
        <w:rPr>
          <w:szCs w:val="20"/>
          <w:lang w:val="bg-BG"/>
        </w:rPr>
        <w:t>Стайкова-Петерман</w:t>
      </w:r>
      <w:proofErr w:type="spellEnd"/>
      <w:r w:rsidRPr="00006A07">
        <w:rPr>
          <w:szCs w:val="20"/>
          <w:lang w:val="bg-BG"/>
        </w:rPr>
        <w:t xml:space="preserve"> (вторият жалбоподател по жалба № 358/12) и г-н </w:t>
      </w:r>
      <w:r w:rsidRPr="00033C6C">
        <w:rPr>
          <w:szCs w:val="20"/>
          <w:lang w:val="bg-BG"/>
        </w:rPr>
        <w:t>Христоз Запрянов</w:t>
      </w:r>
      <w:r w:rsidRPr="00006A07">
        <w:rPr>
          <w:szCs w:val="20"/>
          <w:lang w:val="bg-BG"/>
        </w:rPr>
        <w:t xml:space="preserve"> Христозов, изразяват желанието си да водят делото вместо него. На 20 декември 2011 г. г-н Петров също умира. Неговата вдовица и дъщеря му, които са и негови законни наследници, г-жа Живка Станкова </w:t>
      </w:r>
      <w:proofErr w:type="spellStart"/>
      <w:r w:rsidRPr="00006A07">
        <w:rPr>
          <w:szCs w:val="20"/>
          <w:lang w:val="bg-BG"/>
        </w:rPr>
        <w:t>Иванова-Петровa</w:t>
      </w:r>
      <w:proofErr w:type="spellEnd"/>
      <w:r w:rsidRPr="00006A07">
        <w:rPr>
          <w:szCs w:val="20"/>
          <w:lang w:val="bg-BG"/>
        </w:rPr>
        <w:t xml:space="preserve"> и г-жа Венета </w:t>
      </w:r>
      <w:proofErr w:type="spellStart"/>
      <w:r w:rsidRPr="00006A07">
        <w:rPr>
          <w:szCs w:val="20"/>
          <w:lang w:val="bg-BG"/>
        </w:rPr>
        <w:t>Петровa</w:t>
      </w:r>
      <w:proofErr w:type="spellEnd"/>
      <w:r w:rsidRPr="00006A07">
        <w:rPr>
          <w:szCs w:val="20"/>
          <w:lang w:val="bg-BG"/>
        </w:rPr>
        <w:t xml:space="preserve"> </w:t>
      </w:r>
      <w:proofErr w:type="spellStart"/>
      <w:r w:rsidRPr="00006A07">
        <w:rPr>
          <w:szCs w:val="20"/>
          <w:lang w:val="bg-BG"/>
        </w:rPr>
        <w:t>Димитровa-Паунова</w:t>
      </w:r>
      <w:proofErr w:type="spellEnd"/>
      <w:r w:rsidRPr="00006A07">
        <w:rPr>
          <w:szCs w:val="20"/>
          <w:lang w:val="bg-BG"/>
        </w:rPr>
        <w:t xml:space="preserve">, изразяват желание да водят делото вместо него. На 16 декември 2011 г. г-н Бехар също умира. Неговата вдовица и двамата му синове, които са и негови законни наследници, г-жа Вера </w:t>
      </w:r>
      <w:proofErr w:type="spellStart"/>
      <w:r w:rsidRPr="00006A07">
        <w:rPr>
          <w:szCs w:val="20"/>
          <w:lang w:val="bg-BG"/>
        </w:rPr>
        <w:t>Петровa</w:t>
      </w:r>
      <w:proofErr w:type="spellEnd"/>
      <w:r w:rsidRPr="00006A07">
        <w:rPr>
          <w:szCs w:val="20"/>
          <w:lang w:val="bg-BG"/>
        </w:rPr>
        <w:t xml:space="preserve"> Бехар, г-н Леонид Давид Бехар и г-н </w:t>
      </w:r>
      <w:proofErr w:type="spellStart"/>
      <w:r w:rsidRPr="00006A07">
        <w:rPr>
          <w:szCs w:val="20"/>
          <w:lang w:val="bg-BG"/>
        </w:rPr>
        <w:t>Самсон</w:t>
      </w:r>
      <w:proofErr w:type="spellEnd"/>
      <w:r w:rsidRPr="00006A07">
        <w:rPr>
          <w:szCs w:val="20"/>
          <w:lang w:val="bg-BG"/>
        </w:rPr>
        <w:t xml:space="preserve"> Давид Бехар, изразяват желание да водят делото вместо него. На 6 март 2012 г. умира и г-жа Пенчева. Нейният вдовец и дъщеря й, които са и нейни законни наследници, г-н Йордан </w:t>
      </w:r>
      <w:r w:rsidRPr="00006A07">
        <w:rPr>
          <w:szCs w:val="20"/>
          <w:lang w:val="bg-BG"/>
        </w:rPr>
        <w:lastRenderedPageBreak/>
        <w:t>Пенев Пенчев и г-жа Вера Йорданова Пейкова, изразяват желание да водят делото вместо нея.</w:t>
      </w:r>
    </w:p>
    <w:p w:rsidR="0095532B" w:rsidRPr="00006A07" w:rsidRDefault="0095532B" w:rsidP="00CB2F40">
      <w:pPr>
        <w:suppressAutoHyphens w:val="0"/>
        <w:ind w:firstLine="284"/>
        <w:jc w:val="both"/>
        <w:rPr>
          <w:szCs w:val="20"/>
          <w:lang w:val="bg-BG"/>
        </w:rPr>
      </w:pPr>
      <w:r w:rsidRPr="00006A07">
        <w:rPr>
          <w:szCs w:val="20"/>
          <w:lang w:val="bg-BG"/>
        </w:rPr>
        <w:fldChar w:fldCharType="begin"/>
      </w:r>
      <w:r w:rsidRPr="00006A07">
        <w:rPr>
          <w:szCs w:val="20"/>
          <w:lang w:val="bg-BG"/>
        </w:rPr>
        <w:instrText xml:space="preserve"> SEQ level0 \*arabic </w:instrText>
      </w:r>
      <w:r w:rsidRPr="00006A07">
        <w:rPr>
          <w:szCs w:val="20"/>
          <w:lang w:val="bg-BG"/>
        </w:rPr>
        <w:fldChar w:fldCharType="separate"/>
      </w:r>
      <w:r w:rsidRPr="00006A07">
        <w:rPr>
          <w:noProof/>
          <w:szCs w:val="20"/>
          <w:lang w:val="bg-BG"/>
        </w:rPr>
        <w:t>5</w:t>
      </w:r>
      <w:r w:rsidRPr="00006A07">
        <w:rPr>
          <w:szCs w:val="20"/>
          <w:lang w:val="bg-BG"/>
        </w:rPr>
        <w:fldChar w:fldCharType="end"/>
      </w:r>
      <w:r w:rsidRPr="00006A07">
        <w:rPr>
          <w:szCs w:val="20"/>
          <w:lang w:val="bg-BG"/>
        </w:rPr>
        <w:t>.  На 9 февруари 2012 г. Председателят на Четвърто отделение, на което са разпределени делата, решава да даде предимство на жалбите по член 41 от Правилника на Съда.</w:t>
      </w:r>
    </w:p>
    <w:p w:rsidR="0095532B" w:rsidRPr="00006A07" w:rsidRDefault="0095532B" w:rsidP="00CB2F40">
      <w:pPr>
        <w:suppressAutoHyphens w:val="0"/>
        <w:ind w:firstLine="284"/>
        <w:jc w:val="both"/>
        <w:rPr>
          <w:szCs w:val="20"/>
          <w:lang w:val="bg-BG"/>
        </w:rPr>
      </w:pPr>
      <w:r w:rsidRPr="00006A07">
        <w:rPr>
          <w:szCs w:val="20"/>
          <w:lang w:val="bg-BG"/>
        </w:rPr>
        <w:fldChar w:fldCharType="begin"/>
      </w:r>
      <w:r w:rsidRPr="00006A07">
        <w:rPr>
          <w:szCs w:val="20"/>
          <w:lang w:val="bg-BG"/>
        </w:rPr>
        <w:instrText xml:space="preserve"> SEQ level0 \*arabic </w:instrText>
      </w:r>
      <w:r w:rsidRPr="00006A07">
        <w:rPr>
          <w:szCs w:val="20"/>
          <w:lang w:val="bg-BG"/>
        </w:rPr>
        <w:fldChar w:fldCharType="separate"/>
      </w:r>
      <w:r w:rsidRPr="00006A07">
        <w:rPr>
          <w:noProof/>
          <w:szCs w:val="20"/>
          <w:lang w:val="bg-BG"/>
        </w:rPr>
        <w:t>6</w:t>
      </w:r>
      <w:r w:rsidRPr="00006A07">
        <w:rPr>
          <w:szCs w:val="20"/>
          <w:lang w:val="bg-BG"/>
        </w:rPr>
        <w:fldChar w:fldCharType="end"/>
      </w:r>
      <w:r w:rsidRPr="00006A07">
        <w:rPr>
          <w:szCs w:val="20"/>
          <w:lang w:val="bg-BG"/>
        </w:rPr>
        <w:t>.  На 21 февруари 2012 г. Съдът (Четвърто отделение) решава да съедини жалбите. Той ги обявява за частично недопустими и уведомява Правителството за оплакванията относно отказа на властите да позволят на жалбоподателите да използват горепосочения експериментален медицински продукт и за оплакването относно твърдяната липса на ефикасни правни средства за защита в тази връзка. Освен това е взето решение за едновременно произнасяне по допустимостта и основателността на жалбата (член 29 § 1 от Конвенцията).</w:t>
      </w:r>
    </w:p>
    <w:p w:rsidR="0095532B" w:rsidRPr="00006A07" w:rsidRDefault="0095532B" w:rsidP="008D7A78">
      <w:pPr>
        <w:pStyle w:val="JuHHead"/>
        <w:rPr>
          <w:lang w:val="bg-BG"/>
        </w:rPr>
      </w:pPr>
      <w:r w:rsidRPr="00006A07">
        <w:rPr>
          <w:lang w:val="bg-BG"/>
        </w:rPr>
        <w:t>ОТНОСНО ФАКТИТЕ</w:t>
      </w:r>
    </w:p>
    <w:p w:rsidR="0095532B" w:rsidRPr="00006A07" w:rsidRDefault="0095532B" w:rsidP="008D7A78">
      <w:pPr>
        <w:pStyle w:val="JuHIRoman"/>
        <w:rPr>
          <w:lang w:val="bg-BG"/>
        </w:rPr>
      </w:pPr>
      <w:r w:rsidRPr="00006A07">
        <w:rPr>
          <w:lang w:val="bg-BG"/>
        </w:rPr>
        <w:t>I.  ОБСТОЯТЕЛСТВА ПО ДЕЛОТО</w:t>
      </w:r>
    </w:p>
    <w:p w:rsidR="0095532B" w:rsidRPr="00006A07" w:rsidRDefault="0095532B" w:rsidP="008D7A78">
      <w:pPr>
        <w:pStyle w:val="JuPara"/>
        <w:rPr>
          <w:lang w:val="bg-BG"/>
        </w:rPr>
      </w:pPr>
      <w:r w:rsidRPr="00006A07">
        <w:rPr>
          <w:lang w:val="bg-BG"/>
        </w:rPr>
        <w:fldChar w:fldCharType="begin"/>
      </w:r>
      <w:r w:rsidRPr="00006A07">
        <w:rPr>
          <w:lang w:val="bg-BG"/>
        </w:rPr>
        <w:instrText xml:space="preserve"> SEQ level0 \*arabic </w:instrText>
      </w:r>
      <w:r w:rsidRPr="00006A07">
        <w:rPr>
          <w:lang w:val="bg-BG"/>
        </w:rPr>
        <w:fldChar w:fldCharType="separate"/>
      </w:r>
      <w:r w:rsidRPr="00006A07">
        <w:rPr>
          <w:noProof/>
          <w:lang w:val="bg-BG"/>
        </w:rPr>
        <w:t>7</w:t>
      </w:r>
      <w:r w:rsidRPr="00006A07">
        <w:rPr>
          <w:lang w:val="bg-BG"/>
        </w:rPr>
        <w:fldChar w:fldCharType="end"/>
      </w:r>
      <w:r w:rsidRPr="00006A07">
        <w:rPr>
          <w:lang w:val="bg-BG"/>
        </w:rPr>
        <w:t xml:space="preserve">.  Жалбоподателите са родени съответно през 1977 г., 1954 г., 1948 г., 1947 г., 1948 г., 1973 г., 1948 г., 1966 г., 1935 г. и 1947 г., и живеят съответно в Пловдив, Годеч, Добрич, Казанлък, Пловдив, Русе, </w:t>
      </w:r>
      <w:proofErr w:type="spellStart"/>
      <w:r w:rsidRPr="00006A07">
        <w:rPr>
          <w:lang w:val="bg-BG"/>
        </w:rPr>
        <w:t>Самоков</w:t>
      </w:r>
      <w:proofErr w:type="spellEnd"/>
      <w:r w:rsidRPr="00006A07">
        <w:rPr>
          <w:lang w:val="bg-BG"/>
        </w:rPr>
        <w:t xml:space="preserve"> и София.</w:t>
      </w:r>
    </w:p>
    <w:p w:rsidR="0095532B" w:rsidRPr="00006A07" w:rsidRDefault="0095532B" w:rsidP="008D7A78">
      <w:pPr>
        <w:pStyle w:val="JuPara"/>
        <w:rPr>
          <w:lang w:val="bg-BG"/>
        </w:rPr>
      </w:pPr>
      <w:r w:rsidRPr="00006A07">
        <w:rPr>
          <w:lang w:val="bg-BG"/>
        </w:rPr>
        <w:fldChar w:fldCharType="begin"/>
      </w:r>
      <w:r w:rsidRPr="00006A07">
        <w:rPr>
          <w:lang w:val="bg-BG"/>
        </w:rPr>
        <w:instrText xml:space="preserve"> SEQ level0 \*arabic </w:instrText>
      </w:r>
      <w:r w:rsidRPr="00006A07">
        <w:rPr>
          <w:lang w:val="bg-BG"/>
        </w:rPr>
        <w:fldChar w:fldCharType="separate"/>
      </w:r>
      <w:r w:rsidRPr="00006A07">
        <w:rPr>
          <w:noProof/>
          <w:lang w:val="bg-BG"/>
        </w:rPr>
        <w:t>8</w:t>
      </w:r>
      <w:r w:rsidRPr="00006A07">
        <w:rPr>
          <w:lang w:val="bg-BG"/>
        </w:rPr>
        <w:fldChar w:fldCharType="end"/>
      </w:r>
      <w:r w:rsidRPr="00006A07">
        <w:rPr>
          <w:lang w:val="bg-BG"/>
        </w:rPr>
        <w:t xml:space="preserve">.  Първият жалбоподател в жалба № 47039/11 и всички осем жалбоподатели в жалба № 358/12 имат/са имали различни видове рак, който изглежда е бил в терминална фаза. (Вторият жалбоподател в жалба № 47039/11 е майката на първия жалбоподател.) Четирима от тях стават жертва на болестта скоро след като подават своите жалби (вж. параграф </w:t>
      </w:r>
      <w:r w:rsidRPr="00006A07">
        <w:rPr>
          <w:lang w:val="bg-BG"/>
        </w:rPr>
        <w:fldChar w:fldCharType="begin"/>
      </w:r>
      <w:r w:rsidRPr="00006A07">
        <w:rPr>
          <w:lang w:val="bg-BG"/>
        </w:rPr>
        <w:instrText xml:space="preserve"> REF P_applicants_heirs \h </w:instrText>
      </w:r>
      <w:r w:rsidRPr="00006A07">
        <w:rPr>
          <w:lang w:val="bg-BG"/>
        </w:rPr>
      </w:r>
      <w:r w:rsidRPr="00006A07">
        <w:rPr>
          <w:lang w:val="bg-BG"/>
        </w:rPr>
        <w:fldChar w:fldCharType="separate"/>
      </w:r>
      <w:r w:rsidRPr="00006A07">
        <w:rPr>
          <w:noProof/>
          <w:lang w:val="bg-BG"/>
        </w:rPr>
        <w:t>4</w:t>
      </w:r>
      <w:r w:rsidRPr="00006A07">
        <w:rPr>
          <w:lang w:val="bg-BG"/>
        </w:rPr>
        <w:fldChar w:fldCharType="end"/>
      </w:r>
      <w:r w:rsidRPr="00006A07">
        <w:rPr>
          <w:lang w:val="bg-BG"/>
        </w:rPr>
        <w:t xml:space="preserve"> по-горе).</w:t>
      </w:r>
    </w:p>
    <w:p w:rsidR="0095532B" w:rsidRPr="00006A07" w:rsidRDefault="0095532B" w:rsidP="008D7A78">
      <w:pPr>
        <w:pStyle w:val="JuPara"/>
        <w:rPr>
          <w:lang w:val="bg-BG"/>
        </w:rPr>
      </w:pPr>
      <w:r w:rsidRPr="00006A07">
        <w:rPr>
          <w:lang w:val="bg-BG"/>
        </w:rPr>
        <w:fldChar w:fldCharType="begin"/>
      </w:r>
      <w:r w:rsidRPr="00006A07">
        <w:rPr>
          <w:lang w:val="bg-BG"/>
        </w:rPr>
        <w:instrText xml:space="preserve"> SEQ level0 \*arabic </w:instrText>
      </w:r>
      <w:r w:rsidRPr="00006A07">
        <w:rPr>
          <w:lang w:val="bg-BG"/>
        </w:rPr>
        <w:fldChar w:fldCharType="separate"/>
      </w:r>
      <w:r w:rsidRPr="00006A07">
        <w:rPr>
          <w:noProof/>
          <w:lang w:val="bg-BG"/>
        </w:rPr>
        <w:t>9</w:t>
      </w:r>
      <w:r w:rsidRPr="00006A07">
        <w:rPr>
          <w:lang w:val="bg-BG"/>
        </w:rPr>
        <w:fldChar w:fldCharType="end"/>
      </w:r>
      <w:r w:rsidRPr="00006A07">
        <w:rPr>
          <w:lang w:val="bg-BG"/>
        </w:rPr>
        <w:t>.  След като са опитали различни видове конвенционално лечение (операция, химиотерапия, радиотерапия, хормонална терапия и т.н.) или са получили медицинско становище, че такива форми на лечение не биха подействали в техните случаи или не са налични в България, всички жалбоподатели се обръщат към частна клиника в София – Медицински център „Интегративна медицина“ ООД, където получават информация за експериментален продукт срещу рак (</w:t>
      </w:r>
      <w:proofErr w:type="spellStart"/>
      <w:r w:rsidRPr="00006A07">
        <w:rPr>
          <w:lang w:val="bg-BG"/>
        </w:rPr>
        <w:t>MBVax</w:t>
      </w:r>
      <w:proofErr w:type="spellEnd"/>
      <w:r w:rsidRPr="00006A07">
        <w:rPr>
          <w:lang w:val="bg-BG"/>
        </w:rPr>
        <w:t xml:space="preserve"> </w:t>
      </w:r>
      <w:proofErr w:type="spellStart"/>
      <w:r w:rsidRPr="00006A07">
        <w:rPr>
          <w:lang w:val="bg-BG"/>
        </w:rPr>
        <w:t>Coley</w:t>
      </w:r>
      <w:proofErr w:type="spellEnd"/>
      <w:r w:rsidRPr="00006A07">
        <w:rPr>
          <w:lang w:val="bg-BG"/>
        </w:rPr>
        <w:t xml:space="preserve"> </w:t>
      </w:r>
      <w:proofErr w:type="spellStart"/>
      <w:r w:rsidRPr="00006A07">
        <w:rPr>
          <w:lang w:val="bg-BG"/>
        </w:rPr>
        <w:t>Fluid</w:t>
      </w:r>
      <w:proofErr w:type="spellEnd"/>
      <w:r w:rsidRPr="00006A07">
        <w:rPr>
          <w:lang w:val="bg-BG"/>
        </w:rPr>
        <w:t xml:space="preserve">), който е разработен от канадско дружество – </w:t>
      </w:r>
      <w:proofErr w:type="spellStart"/>
      <w:r w:rsidRPr="00006A07">
        <w:rPr>
          <w:lang w:val="bg-BG"/>
        </w:rPr>
        <w:t>MBVax</w:t>
      </w:r>
      <w:proofErr w:type="spellEnd"/>
      <w:r w:rsidRPr="00006A07">
        <w:rPr>
          <w:lang w:val="bg-BG"/>
        </w:rPr>
        <w:t xml:space="preserve"> </w:t>
      </w:r>
      <w:proofErr w:type="spellStart"/>
      <w:r w:rsidRPr="00006A07">
        <w:rPr>
          <w:lang w:val="bg-BG"/>
        </w:rPr>
        <w:t>Bioscience</w:t>
      </w:r>
      <w:proofErr w:type="spellEnd"/>
      <w:r w:rsidRPr="00006A07">
        <w:rPr>
          <w:lang w:val="bg-BG"/>
        </w:rPr>
        <w:t xml:space="preserve"> </w:t>
      </w:r>
      <w:proofErr w:type="spellStart"/>
      <w:r w:rsidRPr="00006A07">
        <w:rPr>
          <w:lang w:val="bg-BG"/>
        </w:rPr>
        <w:t>Inc</w:t>
      </w:r>
      <w:proofErr w:type="spellEnd"/>
      <w:r w:rsidRPr="00006A07">
        <w:rPr>
          <w:lang w:val="bg-BG"/>
        </w:rPr>
        <w:t>. Според информацията от това дружество, техният продукт не е разрешен за употреба в нито една държава, но е разрешен за „</w:t>
      </w:r>
      <w:proofErr w:type="spellStart"/>
      <w:r w:rsidRPr="00006A07">
        <w:rPr>
          <w:lang w:val="bg-BG"/>
        </w:rPr>
        <w:t>палиативна</w:t>
      </w:r>
      <w:proofErr w:type="spellEnd"/>
      <w:r w:rsidRPr="00006A07">
        <w:rPr>
          <w:lang w:val="bg-BG"/>
        </w:rPr>
        <w:t xml:space="preserve"> употреба“ (за определение на този термин и съпоставими термини вж. параграфи </w:t>
      </w:r>
      <w:r w:rsidRPr="00006A07">
        <w:rPr>
          <w:lang w:val="bg-BG"/>
        </w:rPr>
        <w:fldChar w:fldCharType="begin"/>
      </w:r>
      <w:r w:rsidRPr="00006A07">
        <w:rPr>
          <w:lang w:val="bg-BG"/>
        </w:rPr>
        <w:instrText xml:space="preserve"> REF REUL_Regulation_726_2004_Article_83 \h </w:instrText>
      </w:r>
      <w:r w:rsidRPr="00006A07">
        <w:rPr>
          <w:lang w:val="bg-BG"/>
        </w:rPr>
      </w:r>
      <w:r w:rsidRPr="00006A07">
        <w:rPr>
          <w:lang w:val="bg-BG"/>
        </w:rPr>
        <w:fldChar w:fldCharType="separate"/>
      </w:r>
      <w:r w:rsidRPr="00006A07">
        <w:rPr>
          <w:noProof/>
          <w:lang w:val="bg-BG"/>
        </w:rPr>
        <w:t>50</w:t>
      </w:r>
      <w:r w:rsidRPr="00006A07">
        <w:rPr>
          <w:lang w:val="bg-BG"/>
        </w:rPr>
        <w:fldChar w:fldCharType="end"/>
      </w:r>
      <w:r w:rsidRPr="00006A07">
        <w:rPr>
          <w:lang w:val="bg-BG"/>
        </w:rPr>
        <w:t xml:space="preserve">, </w:t>
      </w:r>
      <w:r w:rsidRPr="00006A07">
        <w:rPr>
          <w:lang w:val="bg-BG"/>
        </w:rPr>
        <w:fldChar w:fldCharType="begin"/>
      </w:r>
      <w:r w:rsidRPr="00006A07">
        <w:rPr>
          <w:lang w:val="bg-BG"/>
        </w:rPr>
        <w:instrText xml:space="preserve"> REF RCM_21_CFR_312 \h </w:instrText>
      </w:r>
      <w:r w:rsidRPr="00006A07">
        <w:rPr>
          <w:lang w:val="bg-BG"/>
        </w:rPr>
      </w:r>
      <w:r w:rsidRPr="00006A07">
        <w:rPr>
          <w:lang w:val="bg-BG"/>
        </w:rPr>
        <w:fldChar w:fldCharType="separate"/>
      </w:r>
      <w:r w:rsidRPr="00006A07">
        <w:rPr>
          <w:noProof/>
          <w:lang w:val="bg-BG"/>
        </w:rPr>
        <w:t>56</w:t>
      </w:r>
      <w:r w:rsidRPr="00006A07">
        <w:rPr>
          <w:lang w:val="bg-BG"/>
        </w:rPr>
        <w:fldChar w:fldCharType="end"/>
      </w:r>
      <w:r w:rsidRPr="00006A07">
        <w:rPr>
          <w:lang w:val="bg-BG"/>
        </w:rPr>
        <w:t xml:space="preserve"> и </w:t>
      </w:r>
      <w:r w:rsidRPr="00006A07">
        <w:rPr>
          <w:lang w:val="bg-BG"/>
        </w:rPr>
        <w:fldChar w:fldCharType="begin"/>
      </w:r>
      <w:r w:rsidRPr="00006A07">
        <w:rPr>
          <w:lang w:val="bg-BG"/>
        </w:rPr>
        <w:instrText xml:space="preserve"> REF RCM_Canada_Food_and_Drug_Regulations \h </w:instrText>
      </w:r>
      <w:r w:rsidRPr="00006A07">
        <w:rPr>
          <w:lang w:val="bg-BG"/>
        </w:rPr>
      </w:r>
      <w:r w:rsidRPr="00006A07">
        <w:rPr>
          <w:lang w:val="bg-BG"/>
        </w:rPr>
        <w:fldChar w:fldCharType="separate"/>
      </w:r>
      <w:r w:rsidRPr="00006A07">
        <w:rPr>
          <w:noProof/>
          <w:lang w:val="bg-BG"/>
        </w:rPr>
        <w:t>57</w:t>
      </w:r>
      <w:r w:rsidRPr="00006A07">
        <w:rPr>
          <w:lang w:val="bg-BG"/>
        </w:rPr>
        <w:fldChar w:fldCharType="end"/>
      </w:r>
      <w:r w:rsidRPr="00006A07">
        <w:rPr>
          <w:lang w:val="bg-BG"/>
        </w:rPr>
        <w:t xml:space="preserve"> по-долу) в няколко държави (</w:t>
      </w:r>
      <w:proofErr w:type="spellStart"/>
      <w:r w:rsidRPr="00006A07">
        <w:rPr>
          <w:lang w:val="bg-BG"/>
        </w:rPr>
        <w:t>Бахамските</w:t>
      </w:r>
      <w:proofErr w:type="spellEnd"/>
      <w:r w:rsidRPr="00006A07">
        <w:rPr>
          <w:lang w:val="bg-BG"/>
        </w:rPr>
        <w:t xml:space="preserve"> острови, Китай, Германия, Ирландия, Израел, Мексико, </w:t>
      </w:r>
      <w:r w:rsidRPr="00006A07">
        <w:rPr>
          <w:lang w:val="bg-BG"/>
        </w:rPr>
        <w:lastRenderedPageBreak/>
        <w:t xml:space="preserve">Парагвай, Южна Африка, Швейцария, Обединеното кралство и САЩ). В писмо от 9 януари 2011 г. до българското Министерство на здравеопазването, дружеството посочва, че в рамките на </w:t>
      </w:r>
      <w:proofErr w:type="spellStart"/>
      <w:r w:rsidRPr="00006A07">
        <w:rPr>
          <w:lang w:val="bg-BG"/>
        </w:rPr>
        <w:t>предклиничната</w:t>
      </w:r>
      <w:proofErr w:type="spellEnd"/>
      <w:r w:rsidRPr="00006A07">
        <w:rPr>
          <w:lang w:val="bg-BG"/>
        </w:rPr>
        <w:t xml:space="preserve"> фаза на разработване е готово да предостави продукта безплатно на Медицински център „Интегративна медицина“ ООД за употреба при пациенти, болни от рак, които повече не биха могли да се възползват от конвенционалните видове терапия, в замяна на данни за неблагоприятните и благоприятните ефекти при всеки пациент. Изглежда, че в последните години Медицински център „Интегративна медицина“ ООД няколко пъти е подавал заявление за разрешение за внасяне и употреба на продукта, но без резултат.</w:t>
      </w:r>
    </w:p>
    <w:bookmarkStart w:id="3" w:name="F_clinical_trials_dispute"/>
    <w:p w:rsidR="0095532B" w:rsidRPr="00006A07" w:rsidRDefault="0095532B" w:rsidP="008D7A78">
      <w:pPr>
        <w:pStyle w:val="JuPara"/>
        <w:rPr>
          <w:lang w:val="bg-BG"/>
        </w:rPr>
      </w:pPr>
      <w:r w:rsidRPr="00006A07">
        <w:rPr>
          <w:lang w:val="bg-BG"/>
        </w:rPr>
        <w:fldChar w:fldCharType="begin"/>
      </w:r>
      <w:r w:rsidRPr="00006A07">
        <w:rPr>
          <w:lang w:val="bg-BG"/>
        </w:rPr>
        <w:instrText xml:space="preserve"> SEQ level0 \*arabic </w:instrText>
      </w:r>
      <w:r w:rsidRPr="00006A07">
        <w:rPr>
          <w:lang w:val="bg-BG"/>
        </w:rPr>
        <w:fldChar w:fldCharType="separate"/>
      </w:r>
      <w:r w:rsidRPr="00006A07">
        <w:rPr>
          <w:noProof/>
          <w:lang w:val="bg-BG"/>
        </w:rPr>
        <w:t>10</w:t>
      </w:r>
      <w:r w:rsidRPr="00006A07">
        <w:rPr>
          <w:lang w:val="bg-BG"/>
        </w:rPr>
        <w:fldChar w:fldCharType="end"/>
      </w:r>
      <w:bookmarkEnd w:id="3"/>
      <w:r w:rsidRPr="00006A07">
        <w:rPr>
          <w:lang w:val="bg-BG"/>
        </w:rPr>
        <w:t xml:space="preserve">.  Страните спорят относно това дали наскоро са започнали клинични изпитвания на продукта </w:t>
      </w:r>
      <w:proofErr w:type="spellStart"/>
      <w:r w:rsidRPr="00006A07">
        <w:rPr>
          <w:lang w:val="bg-BG"/>
        </w:rPr>
        <w:t>MBVax</w:t>
      </w:r>
      <w:proofErr w:type="spellEnd"/>
      <w:r w:rsidRPr="00006A07">
        <w:rPr>
          <w:lang w:val="bg-BG"/>
        </w:rPr>
        <w:t xml:space="preserve"> </w:t>
      </w:r>
      <w:proofErr w:type="spellStart"/>
      <w:r w:rsidRPr="00006A07">
        <w:rPr>
          <w:lang w:val="bg-BG"/>
        </w:rPr>
        <w:t>Coley</w:t>
      </w:r>
      <w:proofErr w:type="spellEnd"/>
      <w:r w:rsidRPr="00006A07">
        <w:rPr>
          <w:lang w:val="bg-BG"/>
        </w:rPr>
        <w:t xml:space="preserve"> </w:t>
      </w:r>
      <w:proofErr w:type="spellStart"/>
      <w:r w:rsidRPr="00006A07">
        <w:rPr>
          <w:lang w:val="bg-BG"/>
        </w:rPr>
        <w:t>Fluid</w:t>
      </w:r>
      <w:proofErr w:type="spellEnd"/>
      <w:r w:rsidRPr="00006A07">
        <w:rPr>
          <w:lang w:val="bg-BG"/>
        </w:rPr>
        <w:t xml:space="preserve">. Жалбоподателите посочват, че съгласно данни от 18 април 2012 г. от уебсайта на Националния институт за ракови заболявания на САЩ и един уебсайт, поддържан от Националната медицинска библиотека на САЩ, Смесената бактериална ваксина (MBV) е преминавала първа фаза на клинични изпитвания в Германия. Въз основа на това те твърдят, че продуктът е съответствал на изискванията на член 83 § 2 от Регламент (EC) № 726/2004 (вж. параграф </w:t>
      </w:r>
      <w:r w:rsidRPr="00006A07">
        <w:rPr>
          <w:lang w:val="bg-BG"/>
        </w:rPr>
        <w:fldChar w:fldCharType="begin"/>
      </w:r>
      <w:r w:rsidRPr="00006A07">
        <w:rPr>
          <w:lang w:val="bg-BG"/>
        </w:rPr>
        <w:instrText xml:space="preserve"> REF REUL_Regulation_726_2004_Article_83 \h </w:instrText>
      </w:r>
      <w:r w:rsidRPr="00006A07">
        <w:rPr>
          <w:lang w:val="bg-BG"/>
        </w:rPr>
      </w:r>
      <w:r w:rsidRPr="00006A07">
        <w:rPr>
          <w:lang w:val="bg-BG"/>
        </w:rPr>
        <w:fldChar w:fldCharType="separate"/>
      </w:r>
      <w:r w:rsidRPr="00006A07">
        <w:rPr>
          <w:noProof/>
          <w:lang w:val="bg-BG"/>
        </w:rPr>
        <w:t>50</w:t>
      </w:r>
      <w:r w:rsidRPr="00006A07">
        <w:rPr>
          <w:lang w:val="bg-BG"/>
        </w:rPr>
        <w:fldChar w:fldCharType="end"/>
      </w:r>
      <w:r w:rsidRPr="00006A07">
        <w:rPr>
          <w:lang w:val="bg-BG"/>
        </w:rPr>
        <w:t xml:space="preserve"> по-долу). Правителството оспорва тези твърдения и посочва, че не е позволено да се установява наличието на клинични изпитвания в Германия с помощта на информация от уебсайтове в САЩ. </w:t>
      </w:r>
    </w:p>
    <w:p w:rsidR="0095532B" w:rsidRPr="00006A07" w:rsidRDefault="0095532B" w:rsidP="008D7A78">
      <w:pPr>
        <w:pStyle w:val="JuPara"/>
        <w:rPr>
          <w:lang w:val="bg-BG"/>
        </w:rPr>
      </w:pPr>
      <w:r w:rsidRPr="00006A07">
        <w:rPr>
          <w:lang w:val="bg-BG"/>
        </w:rPr>
        <w:fldChar w:fldCharType="begin"/>
      </w:r>
      <w:r w:rsidRPr="00006A07">
        <w:rPr>
          <w:lang w:val="bg-BG"/>
        </w:rPr>
        <w:instrText xml:space="preserve"> SEQ level0 \*arabic </w:instrText>
      </w:r>
      <w:r w:rsidRPr="00006A07">
        <w:rPr>
          <w:lang w:val="bg-BG"/>
        </w:rPr>
        <w:fldChar w:fldCharType="separate"/>
      </w:r>
      <w:r w:rsidRPr="00006A07">
        <w:rPr>
          <w:noProof/>
          <w:lang w:val="bg-BG"/>
        </w:rPr>
        <w:t>11</w:t>
      </w:r>
      <w:r w:rsidRPr="00006A07">
        <w:rPr>
          <w:lang w:val="bg-BG"/>
        </w:rPr>
        <w:fldChar w:fldCharType="end"/>
      </w:r>
      <w:r w:rsidRPr="00006A07">
        <w:rPr>
          <w:lang w:val="bg-BG"/>
        </w:rPr>
        <w:t xml:space="preserve">.  Правителството посочва освен това, че </w:t>
      </w:r>
      <w:proofErr w:type="spellStart"/>
      <w:r w:rsidRPr="00006A07">
        <w:rPr>
          <w:lang w:val="bg-BG"/>
        </w:rPr>
        <w:t>MBVax</w:t>
      </w:r>
      <w:proofErr w:type="spellEnd"/>
      <w:r w:rsidRPr="00006A07">
        <w:rPr>
          <w:lang w:val="bg-BG"/>
        </w:rPr>
        <w:t xml:space="preserve"> </w:t>
      </w:r>
      <w:proofErr w:type="spellStart"/>
      <w:r w:rsidRPr="00006A07">
        <w:rPr>
          <w:lang w:val="bg-BG"/>
        </w:rPr>
        <w:t>Coley</w:t>
      </w:r>
      <w:proofErr w:type="spellEnd"/>
      <w:r w:rsidRPr="00006A07">
        <w:rPr>
          <w:lang w:val="bg-BG"/>
        </w:rPr>
        <w:t xml:space="preserve"> </w:t>
      </w:r>
      <w:proofErr w:type="spellStart"/>
      <w:r w:rsidRPr="00006A07">
        <w:rPr>
          <w:lang w:val="bg-BG"/>
        </w:rPr>
        <w:t>Fluid</w:t>
      </w:r>
      <w:proofErr w:type="spellEnd"/>
      <w:r w:rsidRPr="00006A07">
        <w:rPr>
          <w:lang w:val="bg-BG"/>
        </w:rPr>
        <w:t xml:space="preserve"> не би могла да се опише като медицински продукт по смисъла на приложимите в Европейския съюз и на национално равнище разпоредби. Жалбоподателите отговарят, че фактът, че продуктът не е бил разрешен за употреба, не означава, че не е медицински продукт по смисъла на тези разпоредби. </w:t>
      </w:r>
    </w:p>
    <w:p w:rsidR="0095532B" w:rsidRPr="00006A07" w:rsidRDefault="0095532B" w:rsidP="008D7A78">
      <w:pPr>
        <w:pStyle w:val="JuPara"/>
        <w:rPr>
          <w:lang w:val="bg-BG"/>
        </w:rPr>
      </w:pPr>
      <w:r w:rsidRPr="00006A07">
        <w:rPr>
          <w:lang w:val="bg-BG"/>
        </w:rPr>
        <w:fldChar w:fldCharType="begin"/>
      </w:r>
      <w:r w:rsidRPr="00006A07">
        <w:rPr>
          <w:lang w:val="bg-BG"/>
        </w:rPr>
        <w:instrText xml:space="preserve"> SEQ level0 \*arabic </w:instrText>
      </w:r>
      <w:r w:rsidRPr="00006A07">
        <w:rPr>
          <w:lang w:val="bg-BG"/>
        </w:rPr>
        <w:fldChar w:fldCharType="separate"/>
      </w:r>
      <w:r w:rsidRPr="00006A07">
        <w:rPr>
          <w:noProof/>
          <w:lang w:val="bg-BG"/>
        </w:rPr>
        <w:t>12</w:t>
      </w:r>
      <w:r w:rsidRPr="00006A07">
        <w:rPr>
          <w:lang w:val="bg-BG"/>
        </w:rPr>
        <w:fldChar w:fldCharType="end"/>
      </w:r>
      <w:r w:rsidRPr="00006A07">
        <w:rPr>
          <w:lang w:val="bg-BG"/>
        </w:rPr>
        <w:t xml:space="preserve">.  Според жалбоподателите, </w:t>
      </w:r>
      <w:proofErr w:type="spellStart"/>
      <w:r w:rsidRPr="00006A07">
        <w:rPr>
          <w:lang w:val="bg-BG"/>
        </w:rPr>
        <w:t>MBVax</w:t>
      </w:r>
      <w:proofErr w:type="spellEnd"/>
      <w:r w:rsidRPr="00006A07">
        <w:rPr>
          <w:lang w:val="bg-BG"/>
        </w:rPr>
        <w:t xml:space="preserve"> </w:t>
      </w:r>
      <w:proofErr w:type="spellStart"/>
      <w:r w:rsidRPr="00006A07">
        <w:rPr>
          <w:lang w:val="bg-BG"/>
        </w:rPr>
        <w:t>Coley</w:t>
      </w:r>
      <w:proofErr w:type="spellEnd"/>
      <w:r w:rsidRPr="00006A07">
        <w:rPr>
          <w:lang w:val="bg-BG"/>
        </w:rPr>
        <w:t xml:space="preserve"> </w:t>
      </w:r>
      <w:proofErr w:type="spellStart"/>
      <w:r w:rsidRPr="00006A07">
        <w:rPr>
          <w:lang w:val="bg-BG"/>
        </w:rPr>
        <w:t>Fluid</w:t>
      </w:r>
      <w:proofErr w:type="spellEnd"/>
      <w:r w:rsidRPr="00006A07">
        <w:rPr>
          <w:lang w:val="bg-BG"/>
        </w:rPr>
        <w:t xml:space="preserve"> е бил използван с известен успех при пациенти в клиники в Германия, Ирландия, Обединеното кралство и САЩ. В подкрепа на твърденето си жалбоподателите представят няколко писма и електронни съобщения от практикуващи лекари.</w:t>
      </w:r>
    </w:p>
    <w:p w:rsidR="0095532B" w:rsidRPr="00006A07" w:rsidRDefault="0095532B" w:rsidP="008D7A78">
      <w:pPr>
        <w:pStyle w:val="JuPara"/>
        <w:rPr>
          <w:lang w:val="bg-BG"/>
        </w:rPr>
      </w:pPr>
      <w:r w:rsidRPr="00006A07">
        <w:rPr>
          <w:lang w:val="bg-BG"/>
        </w:rPr>
        <w:fldChar w:fldCharType="begin"/>
      </w:r>
      <w:r w:rsidRPr="00006A07">
        <w:rPr>
          <w:lang w:val="bg-BG"/>
        </w:rPr>
        <w:instrText xml:space="preserve"> SEQ level0 \*arabic </w:instrText>
      </w:r>
      <w:r w:rsidRPr="00006A07">
        <w:rPr>
          <w:lang w:val="bg-BG"/>
        </w:rPr>
        <w:fldChar w:fldCharType="separate"/>
      </w:r>
      <w:r w:rsidRPr="00006A07">
        <w:rPr>
          <w:noProof/>
          <w:lang w:val="bg-BG"/>
        </w:rPr>
        <w:t>13</w:t>
      </w:r>
      <w:r w:rsidRPr="00006A07">
        <w:rPr>
          <w:lang w:val="bg-BG"/>
        </w:rPr>
        <w:fldChar w:fldCharType="end"/>
      </w:r>
      <w:r w:rsidRPr="00006A07">
        <w:rPr>
          <w:lang w:val="bg-BG"/>
        </w:rPr>
        <w:t xml:space="preserve">.  Както изглежда, на 23 юли 2011 г. един от жалбоподателите, г-н Петров, пътува до Германия, където получава продукта от </w:t>
      </w:r>
      <w:proofErr w:type="spellStart"/>
      <w:r w:rsidRPr="00006A07">
        <w:rPr>
          <w:lang w:val="bg-BG"/>
        </w:rPr>
        <w:t>MBVax</w:t>
      </w:r>
      <w:proofErr w:type="spellEnd"/>
      <w:r w:rsidRPr="00006A07">
        <w:rPr>
          <w:lang w:val="bg-BG"/>
        </w:rPr>
        <w:t xml:space="preserve"> </w:t>
      </w:r>
      <w:proofErr w:type="spellStart"/>
      <w:r w:rsidRPr="00006A07">
        <w:rPr>
          <w:lang w:val="bg-BG"/>
        </w:rPr>
        <w:t>Bioscience</w:t>
      </w:r>
      <w:proofErr w:type="spellEnd"/>
      <w:r w:rsidRPr="00006A07">
        <w:rPr>
          <w:lang w:val="bg-BG"/>
        </w:rPr>
        <w:t xml:space="preserve"> </w:t>
      </w:r>
      <w:proofErr w:type="spellStart"/>
      <w:r w:rsidRPr="00006A07">
        <w:rPr>
          <w:lang w:val="bg-BG"/>
        </w:rPr>
        <w:t>Inc</w:t>
      </w:r>
      <w:proofErr w:type="spellEnd"/>
      <w:r w:rsidRPr="00006A07">
        <w:rPr>
          <w:lang w:val="bg-BG"/>
        </w:rPr>
        <w:t>. безплатно и той му е бил приложен седем пъти. Скоро след това обаче той се връща в България, защото повече не може да си позволи да плаща разходите за пребиваването си в Германия или таксите за лечебното заведение, в което му е прилагано лечението.</w:t>
      </w:r>
    </w:p>
    <w:bookmarkStart w:id="4" w:name="F_Executive_Drugs_Agency_decisions"/>
    <w:p w:rsidR="0095532B" w:rsidRPr="00006A07" w:rsidRDefault="0095532B" w:rsidP="008D7A78">
      <w:pPr>
        <w:pStyle w:val="JuPara"/>
        <w:rPr>
          <w:lang w:val="bg-BG"/>
        </w:rPr>
      </w:pPr>
      <w:r w:rsidRPr="00006A07">
        <w:rPr>
          <w:lang w:val="bg-BG"/>
        </w:rPr>
        <w:fldChar w:fldCharType="begin"/>
      </w:r>
      <w:r w:rsidRPr="00006A07">
        <w:rPr>
          <w:lang w:val="bg-BG"/>
        </w:rPr>
        <w:instrText xml:space="preserve"> SEQ level0 \*arabic </w:instrText>
      </w:r>
      <w:r w:rsidRPr="00006A07">
        <w:rPr>
          <w:lang w:val="bg-BG"/>
        </w:rPr>
        <w:fldChar w:fldCharType="separate"/>
      </w:r>
      <w:r w:rsidRPr="00006A07">
        <w:rPr>
          <w:noProof/>
          <w:lang w:val="bg-BG"/>
        </w:rPr>
        <w:t>14</w:t>
      </w:r>
      <w:r w:rsidRPr="00006A07">
        <w:rPr>
          <w:lang w:val="bg-BG"/>
        </w:rPr>
        <w:fldChar w:fldCharType="end"/>
      </w:r>
      <w:bookmarkEnd w:id="4"/>
      <w:r w:rsidRPr="00006A07">
        <w:rPr>
          <w:lang w:val="bg-BG"/>
        </w:rPr>
        <w:t xml:space="preserve">.  Всеки от жалбоподателите – включително г-жа </w:t>
      </w:r>
      <w:proofErr w:type="spellStart"/>
      <w:r w:rsidRPr="00006A07">
        <w:rPr>
          <w:lang w:val="bg-BG"/>
        </w:rPr>
        <w:t>Стайкова-Петерман</w:t>
      </w:r>
      <w:proofErr w:type="spellEnd"/>
      <w:r w:rsidRPr="00006A07">
        <w:rPr>
          <w:lang w:val="bg-BG"/>
        </w:rPr>
        <w:t xml:space="preserve">, която действа от името на болния си син – подава заявление пред съответните органи за разрешение за употребата на </w:t>
      </w:r>
      <w:proofErr w:type="spellStart"/>
      <w:r w:rsidRPr="00006A07">
        <w:rPr>
          <w:lang w:val="bg-BG"/>
        </w:rPr>
        <w:t>MBVax</w:t>
      </w:r>
      <w:proofErr w:type="spellEnd"/>
      <w:r w:rsidRPr="00006A07">
        <w:rPr>
          <w:lang w:val="bg-BG"/>
        </w:rPr>
        <w:t xml:space="preserve"> </w:t>
      </w:r>
      <w:proofErr w:type="spellStart"/>
      <w:r w:rsidRPr="00006A07">
        <w:rPr>
          <w:lang w:val="bg-BG"/>
        </w:rPr>
        <w:t>Coley</w:t>
      </w:r>
      <w:proofErr w:type="spellEnd"/>
      <w:r w:rsidRPr="00006A07">
        <w:rPr>
          <w:lang w:val="bg-BG"/>
        </w:rPr>
        <w:t xml:space="preserve"> </w:t>
      </w:r>
      <w:proofErr w:type="spellStart"/>
      <w:r w:rsidRPr="00006A07">
        <w:rPr>
          <w:lang w:val="bg-BG"/>
        </w:rPr>
        <w:t>Fluid</w:t>
      </w:r>
      <w:proofErr w:type="spellEnd"/>
      <w:r w:rsidRPr="00006A07">
        <w:rPr>
          <w:lang w:val="bg-BG"/>
        </w:rPr>
        <w:t xml:space="preserve">. В писма от 20 юни, 15 юли и 1 и 31 август 2011 г. директорът на </w:t>
      </w:r>
      <w:r w:rsidRPr="00006A07">
        <w:rPr>
          <w:lang w:val="bg-BG"/>
        </w:rPr>
        <w:lastRenderedPageBreak/>
        <w:t xml:space="preserve">Изпълнителна агенция по лекарствата, органът, който отговаря за надзора върху качеството, безопасността и ефикасността на лекарствените продукти, посочва, че </w:t>
      </w:r>
      <w:proofErr w:type="spellStart"/>
      <w:r w:rsidRPr="00006A07">
        <w:rPr>
          <w:lang w:val="bg-BG"/>
        </w:rPr>
        <w:t>MBVax</w:t>
      </w:r>
      <w:proofErr w:type="spellEnd"/>
      <w:r w:rsidRPr="00006A07">
        <w:rPr>
          <w:lang w:val="bg-BG"/>
        </w:rPr>
        <w:t xml:space="preserve"> </w:t>
      </w:r>
      <w:proofErr w:type="spellStart"/>
      <w:r w:rsidRPr="00006A07">
        <w:rPr>
          <w:lang w:val="bg-BG"/>
        </w:rPr>
        <w:t>Coley</w:t>
      </w:r>
      <w:proofErr w:type="spellEnd"/>
      <w:r w:rsidRPr="00006A07">
        <w:rPr>
          <w:lang w:val="bg-BG"/>
        </w:rPr>
        <w:t xml:space="preserve"> </w:t>
      </w:r>
      <w:proofErr w:type="spellStart"/>
      <w:r w:rsidRPr="00006A07">
        <w:rPr>
          <w:lang w:val="bg-BG"/>
        </w:rPr>
        <w:t>Fluid</w:t>
      </w:r>
      <w:proofErr w:type="spellEnd"/>
      <w:r w:rsidRPr="00006A07">
        <w:rPr>
          <w:lang w:val="bg-BG"/>
        </w:rPr>
        <w:t xml:space="preserve"> е експериментален продукт, който все още не е разрешен за употреба или е в процес на клинични изпитвания в някои държави, което означава, че употребата му не би могла да бъде разрешена в България съгласно Регламент № 2 от 2001 г. (вж. параграф </w:t>
      </w:r>
      <w:r w:rsidRPr="00006A07">
        <w:rPr>
          <w:lang w:val="bg-BG"/>
        </w:rPr>
        <w:fldChar w:fldCharType="begin"/>
      </w:r>
      <w:r w:rsidRPr="00006A07">
        <w:rPr>
          <w:lang w:val="bg-BG"/>
        </w:rPr>
        <w:instrText xml:space="preserve"> REF RDL_Regulations_2 \h </w:instrText>
      </w:r>
      <w:r w:rsidRPr="00006A07">
        <w:rPr>
          <w:lang w:val="bg-BG"/>
        </w:rPr>
      </w:r>
      <w:r w:rsidRPr="00006A07">
        <w:rPr>
          <w:lang w:val="bg-BG"/>
        </w:rPr>
        <w:fldChar w:fldCharType="separate"/>
      </w:r>
      <w:r w:rsidRPr="00006A07">
        <w:rPr>
          <w:noProof/>
          <w:lang w:val="bg-BG"/>
        </w:rPr>
        <w:t>25</w:t>
      </w:r>
      <w:r w:rsidRPr="00006A07">
        <w:rPr>
          <w:lang w:val="bg-BG"/>
        </w:rPr>
        <w:fldChar w:fldCharType="end"/>
      </w:r>
      <w:r w:rsidRPr="00006A07">
        <w:rPr>
          <w:lang w:val="bg-BG"/>
        </w:rPr>
        <w:t xml:space="preserve"> и </w:t>
      </w:r>
      <w:r w:rsidRPr="00006A07">
        <w:rPr>
          <w:lang w:val="bg-BG"/>
        </w:rPr>
        <w:fldChar w:fldCharType="begin"/>
      </w:r>
      <w:r w:rsidRPr="00006A07">
        <w:rPr>
          <w:lang w:val="bg-BG"/>
        </w:rPr>
        <w:instrText xml:space="preserve"> REF RDL_Regulations_2_2 \h </w:instrText>
      </w:r>
      <w:r w:rsidRPr="00006A07">
        <w:rPr>
          <w:lang w:val="bg-BG"/>
        </w:rPr>
      </w:r>
      <w:r w:rsidRPr="00006A07">
        <w:rPr>
          <w:lang w:val="bg-BG"/>
        </w:rPr>
        <w:fldChar w:fldCharType="separate"/>
      </w:r>
      <w:r w:rsidRPr="00006A07">
        <w:rPr>
          <w:noProof/>
          <w:lang w:val="bg-BG"/>
        </w:rPr>
        <w:t>26</w:t>
      </w:r>
      <w:r w:rsidRPr="00006A07">
        <w:rPr>
          <w:lang w:val="bg-BG"/>
        </w:rPr>
        <w:fldChar w:fldCharType="end"/>
      </w:r>
      <w:r w:rsidRPr="00006A07">
        <w:rPr>
          <w:lang w:val="bg-BG"/>
        </w:rPr>
        <w:t xml:space="preserve"> по-долу). Освен това органът посочва, че българското право не съдържа разпоредби за употребата на неразрешени за употреба лекарства извън клинични изпитвания и че за разлика от ситуацията в други Европейски държави, в България </w:t>
      </w:r>
      <w:proofErr w:type="spellStart"/>
      <w:r w:rsidRPr="00006A07">
        <w:rPr>
          <w:lang w:val="bg-BG"/>
        </w:rPr>
        <w:t>палиативната</w:t>
      </w:r>
      <w:proofErr w:type="spellEnd"/>
      <w:r w:rsidRPr="00006A07">
        <w:rPr>
          <w:lang w:val="bg-BG"/>
        </w:rPr>
        <w:t xml:space="preserve"> употреба на продукти, които все още не са получили разрешение за употреба, е невъзможна. Съгласно правото на Европейския съюз няма задължение за хармонизиран подход в тази област. В някои от писмата директорът добавя, без да навлиза в подробности, че информацията, която жалбоподателите са имали относно </w:t>
      </w:r>
      <w:proofErr w:type="spellStart"/>
      <w:r w:rsidRPr="00006A07">
        <w:rPr>
          <w:lang w:val="bg-BG"/>
        </w:rPr>
        <w:t>MBVax</w:t>
      </w:r>
      <w:proofErr w:type="spellEnd"/>
      <w:r w:rsidRPr="00006A07">
        <w:rPr>
          <w:lang w:val="bg-BG"/>
        </w:rPr>
        <w:t xml:space="preserve"> </w:t>
      </w:r>
      <w:proofErr w:type="spellStart"/>
      <w:r w:rsidRPr="00006A07">
        <w:rPr>
          <w:lang w:val="bg-BG"/>
        </w:rPr>
        <w:t>Coley</w:t>
      </w:r>
      <w:proofErr w:type="spellEnd"/>
      <w:r w:rsidRPr="00006A07">
        <w:rPr>
          <w:lang w:val="bg-BG"/>
        </w:rPr>
        <w:t xml:space="preserve"> </w:t>
      </w:r>
      <w:proofErr w:type="spellStart"/>
      <w:r w:rsidRPr="00006A07">
        <w:rPr>
          <w:lang w:val="bg-BG"/>
        </w:rPr>
        <w:t>Fluid</w:t>
      </w:r>
      <w:proofErr w:type="spellEnd"/>
      <w:r w:rsidRPr="00006A07">
        <w:rPr>
          <w:lang w:val="bg-BG"/>
        </w:rPr>
        <w:t xml:space="preserve"> е била неточна.</w:t>
      </w:r>
    </w:p>
    <w:bookmarkStart w:id="5" w:name="F_Minister_of_Health_appeal"/>
    <w:p w:rsidR="0095532B" w:rsidRPr="00006A07" w:rsidRDefault="0095532B" w:rsidP="008D7A78">
      <w:pPr>
        <w:pStyle w:val="JuPara"/>
        <w:rPr>
          <w:lang w:val="bg-BG"/>
        </w:rPr>
      </w:pPr>
      <w:r w:rsidRPr="00006A07">
        <w:rPr>
          <w:lang w:val="bg-BG"/>
        </w:rPr>
        <w:fldChar w:fldCharType="begin"/>
      </w:r>
      <w:r w:rsidRPr="00006A07">
        <w:rPr>
          <w:lang w:val="bg-BG"/>
        </w:rPr>
        <w:instrText xml:space="preserve"> SEQ level0 \*arabic </w:instrText>
      </w:r>
      <w:r w:rsidRPr="00006A07">
        <w:rPr>
          <w:lang w:val="bg-BG"/>
        </w:rPr>
        <w:fldChar w:fldCharType="separate"/>
      </w:r>
      <w:r w:rsidRPr="00006A07">
        <w:rPr>
          <w:noProof/>
          <w:lang w:val="bg-BG"/>
        </w:rPr>
        <w:t>15</w:t>
      </w:r>
      <w:r w:rsidRPr="00006A07">
        <w:rPr>
          <w:lang w:val="bg-BG"/>
        </w:rPr>
        <w:fldChar w:fldCharType="end"/>
      </w:r>
      <w:bookmarkEnd w:id="5"/>
      <w:r w:rsidRPr="00006A07">
        <w:rPr>
          <w:lang w:val="bg-BG"/>
        </w:rPr>
        <w:t>.  Някои от жалбоподателите внасят жалба пред Министъра на здравеопазването, който в писмо от 13 юли 2011 г. напълно се съгласява с позицията, изразена от Изпълнителната агенция по лекарствата.</w:t>
      </w:r>
    </w:p>
    <w:bookmarkStart w:id="6" w:name="F_Ombudsman"/>
    <w:p w:rsidR="0095532B" w:rsidRPr="00006A07" w:rsidRDefault="0095532B" w:rsidP="008D7A78">
      <w:pPr>
        <w:pStyle w:val="JuPara"/>
        <w:rPr>
          <w:lang w:val="bg-BG"/>
        </w:rPr>
      </w:pPr>
      <w:r w:rsidRPr="00006A07">
        <w:rPr>
          <w:lang w:val="bg-BG"/>
        </w:rPr>
        <w:fldChar w:fldCharType="begin"/>
      </w:r>
      <w:r w:rsidRPr="00006A07">
        <w:rPr>
          <w:lang w:val="bg-BG"/>
        </w:rPr>
        <w:instrText xml:space="preserve"> SEQ level0 \*arabic </w:instrText>
      </w:r>
      <w:r w:rsidRPr="00006A07">
        <w:rPr>
          <w:lang w:val="bg-BG"/>
        </w:rPr>
        <w:fldChar w:fldCharType="separate"/>
      </w:r>
      <w:r w:rsidRPr="00006A07">
        <w:rPr>
          <w:noProof/>
          <w:lang w:val="bg-BG"/>
        </w:rPr>
        <w:t>16</w:t>
      </w:r>
      <w:r w:rsidRPr="00006A07">
        <w:rPr>
          <w:lang w:val="bg-BG"/>
        </w:rPr>
        <w:fldChar w:fldCharType="end"/>
      </w:r>
      <w:bookmarkEnd w:id="6"/>
      <w:r w:rsidRPr="00006A07">
        <w:rPr>
          <w:lang w:val="bg-BG"/>
        </w:rPr>
        <w:t xml:space="preserve">.  Трима от жалбоподателите подават жалба № 358/12 до </w:t>
      </w:r>
      <w:proofErr w:type="spellStart"/>
      <w:r w:rsidRPr="00006A07">
        <w:rPr>
          <w:lang w:val="bg-BG"/>
        </w:rPr>
        <w:t>Омбудсмана</w:t>
      </w:r>
      <w:proofErr w:type="spellEnd"/>
      <w:r w:rsidRPr="00006A07">
        <w:rPr>
          <w:lang w:val="bg-BG"/>
        </w:rPr>
        <w:t xml:space="preserve"> на Република България. В писма от 22 юли и 4 и 14 септември 2011 г. </w:t>
      </w:r>
      <w:proofErr w:type="spellStart"/>
      <w:r w:rsidRPr="00006A07">
        <w:rPr>
          <w:lang w:val="bg-BG"/>
        </w:rPr>
        <w:t>Омбудсманът</w:t>
      </w:r>
      <w:proofErr w:type="spellEnd"/>
      <w:r w:rsidRPr="00006A07">
        <w:rPr>
          <w:lang w:val="bg-BG"/>
        </w:rPr>
        <w:t xml:space="preserve"> също ги информира, че </w:t>
      </w:r>
      <w:proofErr w:type="spellStart"/>
      <w:r w:rsidRPr="00006A07">
        <w:rPr>
          <w:lang w:val="bg-BG"/>
        </w:rPr>
        <w:t>MBVax</w:t>
      </w:r>
      <w:proofErr w:type="spellEnd"/>
      <w:r w:rsidRPr="00006A07">
        <w:rPr>
          <w:lang w:val="bg-BG"/>
        </w:rPr>
        <w:t xml:space="preserve"> </w:t>
      </w:r>
      <w:proofErr w:type="spellStart"/>
      <w:r w:rsidRPr="00006A07">
        <w:rPr>
          <w:lang w:val="bg-BG"/>
        </w:rPr>
        <w:t>Coley</w:t>
      </w:r>
      <w:proofErr w:type="spellEnd"/>
      <w:r w:rsidRPr="00006A07">
        <w:rPr>
          <w:lang w:val="bg-BG"/>
        </w:rPr>
        <w:t xml:space="preserve"> </w:t>
      </w:r>
      <w:proofErr w:type="spellStart"/>
      <w:r w:rsidRPr="00006A07">
        <w:rPr>
          <w:lang w:val="bg-BG"/>
        </w:rPr>
        <w:t>Fluid</w:t>
      </w:r>
      <w:proofErr w:type="spellEnd"/>
      <w:r w:rsidRPr="00006A07">
        <w:rPr>
          <w:lang w:val="bg-BG"/>
        </w:rPr>
        <w:t xml:space="preserve"> не е разрешен за употреба в нито една държава, което означава, че единственият начин, по който биха могли да получат достъп до него в България, е в рамките на клинично изпитване.</w:t>
      </w:r>
    </w:p>
    <w:bookmarkStart w:id="7" w:name="F_no_judicial_review"/>
    <w:p w:rsidR="0095532B" w:rsidRPr="00006A07" w:rsidRDefault="0095532B" w:rsidP="008D7A78">
      <w:pPr>
        <w:pStyle w:val="JuPara"/>
        <w:rPr>
          <w:lang w:val="bg-BG"/>
        </w:rPr>
      </w:pPr>
      <w:r w:rsidRPr="00006A07">
        <w:rPr>
          <w:lang w:val="bg-BG"/>
        </w:rPr>
        <w:fldChar w:fldCharType="begin"/>
      </w:r>
      <w:r w:rsidRPr="00006A07">
        <w:rPr>
          <w:lang w:val="bg-BG"/>
        </w:rPr>
        <w:instrText xml:space="preserve"> SEQ level0 \*arabic </w:instrText>
      </w:r>
      <w:r w:rsidRPr="00006A07">
        <w:rPr>
          <w:lang w:val="bg-BG"/>
        </w:rPr>
        <w:fldChar w:fldCharType="separate"/>
      </w:r>
      <w:r w:rsidRPr="00006A07">
        <w:rPr>
          <w:noProof/>
          <w:lang w:val="bg-BG"/>
        </w:rPr>
        <w:t>17</w:t>
      </w:r>
      <w:r w:rsidRPr="00006A07">
        <w:rPr>
          <w:lang w:val="bg-BG"/>
        </w:rPr>
        <w:fldChar w:fldCharType="end"/>
      </w:r>
      <w:bookmarkEnd w:id="7"/>
      <w:r w:rsidRPr="00006A07">
        <w:rPr>
          <w:lang w:val="bg-BG"/>
        </w:rPr>
        <w:t>.  Жалбоподателите не са обжалвали пред съд.</w:t>
      </w:r>
    </w:p>
    <w:bookmarkStart w:id="8" w:name="F_MCIM_struck_out"/>
    <w:p w:rsidR="0095532B" w:rsidRPr="00006A07" w:rsidRDefault="0095532B" w:rsidP="008D7A78">
      <w:pPr>
        <w:pStyle w:val="JuPara"/>
        <w:rPr>
          <w:lang w:val="bg-BG"/>
        </w:rPr>
      </w:pPr>
      <w:r w:rsidRPr="00006A07">
        <w:rPr>
          <w:lang w:val="bg-BG"/>
        </w:rPr>
        <w:fldChar w:fldCharType="begin"/>
      </w:r>
      <w:r w:rsidRPr="00006A07">
        <w:rPr>
          <w:lang w:val="bg-BG"/>
        </w:rPr>
        <w:instrText xml:space="preserve"> SEQ level0 \*arabic </w:instrText>
      </w:r>
      <w:r w:rsidRPr="00006A07">
        <w:rPr>
          <w:lang w:val="bg-BG"/>
        </w:rPr>
        <w:fldChar w:fldCharType="separate"/>
      </w:r>
      <w:r w:rsidRPr="00006A07">
        <w:rPr>
          <w:noProof/>
          <w:lang w:val="bg-BG"/>
        </w:rPr>
        <w:t>18</w:t>
      </w:r>
      <w:r w:rsidRPr="00006A07">
        <w:rPr>
          <w:lang w:val="bg-BG"/>
        </w:rPr>
        <w:fldChar w:fldCharType="end"/>
      </w:r>
      <w:bookmarkEnd w:id="8"/>
      <w:r w:rsidRPr="00006A07">
        <w:rPr>
          <w:lang w:val="bg-BG"/>
        </w:rPr>
        <w:t>.  На 27 октомври 2011 г. Столична регионална здравна инспекция взема решение да заличи Медицински център „Интегративна медицина“ ООД от регистъра на лечебните заведения, като посочва, че извършваните от него дейности са в нарушение на установените медицински стандарти. Клиниката обжалва решението пред Софийски административен съд. На 8 декември 2011 г. е проведено съдебно заседание. Второ съдебно заседание е насрочено за 24 февруари, но е отложено за 14 юни 2012 г., а впоследствие за 5 октомври 2012 г. и за 12 октомври 2012 г. Делото все още е висящо пред Софийски административен съд.</w:t>
      </w:r>
    </w:p>
    <w:p w:rsidR="0095532B" w:rsidRPr="00006A07" w:rsidRDefault="0095532B" w:rsidP="008D7A78">
      <w:pPr>
        <w:pStyle w:val="JuHIRoman"/>
        <w:rPr>
          <w:lang w:val="bg-BG"/>
        </w:rPr>
      </w:pPr>
      <w:r w:rsidRPr="00006A07">
        <w:rPr>
          <w:lang w:val="bg-BG"/>
        </w:rPr>
        <w:t>II.  РЕЛЕВАНТНО ВЪТРЕШНО ПРАВО</w:t>
      </w:r>
    </w:p>
    <w:p w:rsidR="0095532B" w:rsidRPr="00006A07" w:rsidRDefault="0095532B" w:rsidP="008D7A78">
      <w:pPr>
        <w:pStyle w:val="JuHA"/>
        <w:rPr>
          <w:lang w:val="bg-BG"/>
        </w:rPr>
      </w:pPr>
      <w:r w:rsidRPr="00006A07">
        <w:rPr>
          <w:lang w:val="bg-BG"/>
        </w:rPr>
        <w:t>A.  Конституцията</w:t>
      </w:r>
    </w:p>
    <w:bookmarkStart w:id="9" w:name="RDL_Constitution_A_52"/>
    <w:p w:rsidR="0095532B" w:rsidRPr="00006A07" w:rsidRDefault="0095532B" w:rsidP="008D7A78">
      <w:pPr>
        <w:pStyle w:val="JuPara"/>
        <w:rPr>
          <w:lang w:val="bg-BG"/>
        </w:rPr>
      </w:pPr>
      <w:r w:rsidRPr="00006A07">
        <w:rPr>
          <w:lang w:val="bg-BG"/>
        </w:rPr>
        <w:fldChar w:fldCharType="begin"/>
      </w:r>
      <w:r w:rsidRPr="00006A07">
        <w:rPr>
          <w:lang w:val="bg-BG"/>
        </w:rPr>
        <w:instrText xml:space="preserve"> SEQ level0 \*arabic </w:instrText>
      </w:r>
      <w:r w:rsidRPr="00006A07">
        <w:rPr>
          <w:lang w:val="bg-BG"/>
        </w:rPr>
        <w:fldChar w:fldCharType="separate"/>
      </w:r>
      <w:r w:rsidRPr="00006A07">
        <w:rPr>
          <w:noProof/>
          <w:lang w:val="bg-BG"/>
        </w:rPr>
        <w:t>19</w:t>
      </w:r>
      <w:r w:rsidRPr="00006A07">
        <w:rPr>
          <w:lang w:val="bg-BG"/>
        </w:rPr>
        <w:fldChar w:fldCharType="end"/>
      </w:r>
      <w:bookmarkEnd w:id="9"/>
      <w:r w:rsidRPr="00006A07">
        <w:rPr>
          <w:lang w:val="bg-BG"/>
        </w:rPr>
        <w:t xml:space="preserve">.  Член 52 от Конституцията от 1991 г. предвижда, в </w:t>
      </w:r>
      <w:proofErr w:type="spellStart"/>
      <w:r w:rsidRPr="00006A07">
        <w:rPr>
          <w:lang w:val="bg-BG"/>
        </w:rPr>
        <w:t>относимата</w:t>
      </w:r>
      <w:proofErr w:type="spellEnd"/>
      <w:r w:rsidRPr="00006A07">
        <w:rPr>
          <w:lang w:val="bg-BG"/>
        </w:rPr>
        <w:t xml:space="preserve"> си към случая част:</w:t>
      </w:r>
    </w:p>
    <w:p w:rsidR="0095532B" w:rsidRPr="00006A07" w:rsidRDefault="0095532B" w:rsidP="008D7A78">
      <w:pPr>
        <w:pStyle w:val="JuQuot"/>
        <w:rPr>
          <w:lang w:val="bg-BG"/>
        </w:rPr>
      </w:pPr>
      <w:r w:rsidRPr="00006A07">
        <w:rPr>
          <w:lang w:val="bg-BG"/>
        </w:rPr>
        <w:lastRenderedPageBreak/>
        <w:t>„1.  </w:t>
      </w:r>
      <w:r w:rsidRPr="00006A07">
        <w:rPr>
          <w:lang w:val="bg-BG" w:eastAsia="bg-BG"/>
        </w:rPr>
        <w:t>Гражданите имат право на здравно осигуряване, гарантиращо им достъпна медицинска помощ, и на безплатно ползване на медицинско обслужване при условия и по ред, определени със закон.</w:t>
      </w:r>
    </w:p>
    <w:p w:rsidR="0095532B" w:rsidRPr="00006A07" w:rsidRDefault="0095532B" w:rsidP="008D7A78">
      <w:pPr>
        <w:pStyle w:val="JuQuot"/>
        <w:rPr>
          <w:lang w:val="bg-BG"/>
        </w:rPr>
      </w:pPr>
      <w:r w:rsidRPr="00006A07">
        <w:rPr>
          <w:lang w:val="bg-BG"/>
        </w:rPr>
        <w:t>...</w:t>
      </w:r>
    </w:p>
    <w:p w:rsidR="0095532B" w:rsidRPr="00006A07" w:rsidRDefault="0095532B" w:rsidP="008D7A78">
      <w:pPr>
        <w:pStyle w:val="JuQuot"/>
        <w:rPr>
          <w:lang w:val="bg-BG"/>
        </w:rPr>
      </w:pPr>
      <w:r w:rsidRPr="00006A07">
        <w:rPr>
          <w:lang w:val="bg-BG"/>
        </w:rPr>
        <w:t>3.  </w:t>
      </w:r>
      <w:r w:rsidRPr="00006A07">
        <w:rPr>
          <w:lang w:val="bg-BG" w:eastAsia="bg-BG"/>
        </w:rPr>
        <w:t>Държавата закриля здравето на гражданите</w:t>
      </w:r>
      <w:r w:rsidRPr="00006A07">
        <w:rPr>
          <w:lang w:val="bg-BG"/>
        </w:rPr>
        <w:t>...</w:t>
      </w:r>
    </w:p>
    <w:p w:rsidR="0095532B" w:rsidRPr="00006A07" w:rsidRDefault="0095532B" w:rsidP="008D7A78">
      <w:pPr>
        <w:pStyle w:val="JuQuot"/>
        <w:rPr>
          <w:lang w:val="bg-BG"/>
        </w:rPr>
      </w:pPr>
      <w:r w:rsidRPr="00006A07">
        <w:rPr>
          <w:lang w:val="bg-BG"/>
        </w:rPr>
        <w:t>4.  </w:t>
      </w:r>
      <w:r w:rsidRPr="00006A07">
        <w:rPr>
          <w:lang w:val="bg-BG" w:eastAsia="bg-BG"/>
        </w:rPr>
        <w:t>Никой не може да бъде подлаган принудително на лечение и на санитарни мерки освен в предвидените от закона случаи.</w:t>
      </w:r>
    </w:p>
    <w:p w:rsidR="0095532B" w:rsidRPr="00006A07" w:rsidRDefault="0095532B" w:rsidP="008D7A78">
      <w:pPr>
        <w:pStyle w:val="JuQuot"/>
        <w:rPr>
          <w:lang w:val="bg-BG"/>
        </w:rPr>
      </w:pPr>
      <w:r w:rsidRPr="00006A07">
        <w:rPr>
          <w:lang w:val="bg-BG"/>
        </w:rPr>
        <w:t>5.  </w:t>
      </w:r>
      <w:r w:rsidRPr="00006A07">
        <w:rPr>
          <w:lang w:val="bg-BG" w:eastAsia="bg-BG"/>
        </w:rPr>
        <w:t xml:space="preserve">Държавата осъществява контрол върху всички здравни заведения, както и върху производството на лекарствени средства, </w:t>
      </w:r>
      <w:proofErr w:type="spellStart"/>
      <w:r w:rsidRPr="00006A07">
        <w:rPr>
          <w:lang w:val="bg-BG" w:eastAsia="bg-BG"/>
        </w:rPr>
        <w:t>биопрепарати</w:t>
      </w:r>
      <w:proofErr w:type="spellEnd"/>
      <w:r w:rsidRPr="00006A07">
        <w:rPr>
          <w:lang w:val="bg-BG" w:eastAsia="bg-BG"/>
        </w:rPr>
        <w:t xml:space="preserve"> и медицинска техника и върху търговията с тях.</w:t>
      </w:r>
      <w:r w:rsidRPr="00006A07">
        <w:rPr>
          <w:lang w:val="bg-BG"/>
        </w:rPr>
        <w:t>“</w:t>
      </w:r>
    </w:p>
    <w:bookmarkStart w:id="10" w:name="RDL_Constitution_A_52_CC_dec_2_2007"/>
    <w:p w:rsidR="0095532B" w:rsidRPr="00006A07" w:rsidRDefault="0095532B" w:rsidP="008D7A78">
      <w:pPr>
        <w:pStyle w:val="JuPara"/>
        <w:rPr>
          <w:lang w:val="bg-BG"/>
        </w:rPr>
      </w:pPr>
      <w:r w:rsidRPr="00006A07">
        <w:rPr>
          <w:lang w:val="bg-BG"/>
        </w:rPr>
        <w:fldChar w:fldCharType="begin"/>
      </w:r>
      <w:r w:rsidRPr="00006A07">
        <w:rPr>
          <w:lang w:val="bg-BG"/>
        </w:rPr>
        <w:instrText xml:space="preserve"> SEQ level0 \*arabic </w:instrText>
      </w:r>
      <w:r w:rsidRPr="00006A07">
        <w:rPr>
          <w:lang w:val="bg-BG"/>
        </w:rPr>
        <w:fldChar w:fldCharType="separate"/>
      </w:r>
      <w:r w:rsidRPr="00006A07">
        <w:rPr>
          <w:noProof/>
          <w:lang w:val="bg-BG"/>
        </w:rPr>
        <w:t>20</w:t>
      </w:r>
      <w:r w:rsidRPr="00006A07">
        <w:rPr>
          <w:lang w:val="bg-BG"/>
        </w:rPr>
        <w:fldChar w:fldCharType="end"/>
      </w:r>
      <w:bookmarkEnd w:id="10"/>
      <w:r w:rsidRPr="00006A07">
        <w:rPr>
          <w:lang w:val="bg-BG"/>
        </w:rPr>
        <w:t>.  В решение от 22 февруари 2007 г. (</w:t>
      </w:r>
      <w:proofErr w:type="spellStart"/>
      <w:r w:rsidRPr="00006A07">
        <w:rPr>
          <w:lang w:val="bg-BG"/>
        </w:rPr>
        <w:t>реш</w:t>
      </w:r>
      <w:proofErr w:type="spellEnd"/>
      <w:r w:rsidRPr="00006A07">
        <w:rPr>
          <w:lang w:val="bg-BG"/>
        </w:rPr>
        <w:t xml:space="preserve">. № 2 от 22 февруари 2007 г. по к. д. № 12 от 2006 г., </w:t>
      </w:r>
      <w:proofErr w:type="spellStart"/>
      <w:r w:rsidRPr="00006A07">
        <w:rPr>
          <w:lang w:val="bg-BG"/>
        </w:rPr>
        <w:t>обн</w:t>
      </w:r>
      <w:proofErr w:type="spellEnd"/>
      <w:r w:rsidRPr="00006A07">
        <w:rPr>
          <w:lang w:val="bg-BG"/>
        </w:rPr>
        <w:t xml:space="preserve">., ДВ, бр. 20 от 6 март 2007 г.), Конституционният съд посочва, че за разлика от класическите основни права на човека като правото на живот, свобода и сигурност, личен живот свобода на мисълта или правото на избор на вероизповедание, правата по член 52 § 1 от Конституцията са социални права. Те не биха могли да бъдат пряко приведени в изпълнение от съдилищата и изискват действие от страна на Държавата, за да бъдат реализирани. По тази причина конституцията предвижда, че здравеопазването следва да бъде извършвано по начин, предвиден със закон. </w:t>
      </w:r>
    </w:p>
    <w:p w:rsidR="0095532B" w:rsidRPr="00006A07" w:rsidRDefault="0095532B" w:rsidP="008D7A78">
      <w:pPr>
        <w:pStyle w:val="JuHA"/>
        <w:rPr>
          <w:lang w:val="bg-BG"/>
        </w:rPr>
      </w:pPr>
      <w:r w:rsidRPr="00006A07">
        <w:rPr>
          <w:lang w:val="bg-BG"/>
        </w:rPr>
        <w:t xml:space="preserve">Б.  Закон за лекарствените продукти в хуманната медицина от 2007 г. и свързаните с него подзаконови нормативни актове </w:t>
      </w:r>
    </w:p>
    <w:bookmarkStart w:id="11" w:name="RDL_2007_Act_section_3"/>
    <w:p w:rsidR="0095532B" w:rsidRPr="00006A07" w:rsidRDefault="0095532B" w:rsidP="00496423">
      <w:pPr>
        <w:suppressAutoHyphens w:val="0"/>
        <w:jc w:val="both"/>
        <w:rPr>
          <w:lang w:val="bg-BG" w:eastAsia="bg-BG"/>
        </w:rPr>
      </w:pPr>
      <w:r w:rsidRPr="00006A07">
        <w:rPr>
          <w:lang w:val="bg-BG"/>
        </w:rPr>
        <w:fldChar w:fldCharType="begin"/>
      </w:r>
      <w:r w:rsidRPr="00006A07">
        <w:rPr>
          <w:lang w:val="bg-BG"/>
        </w:rPr>
        <w:instrText xml:space="preserve"> SEQ level0 \*arabic </w:instrText>
      </w:r>
      <w:r w:rsidRPr="00006A07">
        <w:rPr>
          <w:lang w:val="bg-BG"/>
        </w:rPr>
        <w:fldChar w:fldCharType="separate"/>
      </w:r>
      <w:r w:rsidRPr="00006A07">
        <w:rPr>
          <w:noProof/>
          <w:lang w:val="bg-BG"/>
        </w:rPr>
        <w:t>21</w:t>
      </w:r>
      <w:r w:rsidRPr="00006A07">
        <w:rPr>
          <w:lang w:val="bg-BG"/>
        </w:rPr>
        <w:fldChar w:fldCharType="end"/>
      </w:r>
      <w:bookmarkEnd w:id="11"/>
      <w:r w:rsidRPr="00006A07">
        <w:rPr>
          <w:lang w:val="bg-BG"/>
        </w:rPr>
        <w:t xml:space="preserve">.  Лекарствените продукти в хуманната медицина (за разлика от тези във ветеринарната медицина) са уредени в Закона за лекарствените продукти в хуманната медицина от 2007 г. Член 3(1) от този закон, който отразява член 1 § 2 от Директива 2001/83/EО (вж. параграф </w:t>
      </w:r>
      <w:r w:rsidRPr="00006A07">
        <w:rPr>
          <w:lang w:val="bg-BG"/>
        </w:rPr>
        <w:fldChar w:fldCharType="begin"/>
      </w:r>
      <w:r w:rsidRPr="00006A07">
        <w:rPr>
          <w:lang w:val="bg-BG"/>
        </w:rPr>
        <w:instrText xml:space="preserve"> REF REUL_Directive_2001_83_EC_Article_6_1 \h </w:instrText>
      </w:r>
      <w:r w:rsidRPr="00006A07">
        <w:rPr>
          <w:lang w:val="bg-BG"/>
        </w:rPr>
      </w:r>
      <w:r w:rsidRPr="00006A07">
        <w:rPr>
          <w:lang w:val="bg-BG"/>
        </w:rPr>
        <w:fldChar w:fldCharType="separate"/>
      </w:r>
      <w:r w:rsidRPr="00006A07">
        <w:rPr>
          <w:noProof/>
          <w:lang w:val="bg-BG"/>
        </w:rPr>
        <w:t>44</w:t>
      </w:r>
      <w:r w:rsidRPr="00006A07">
        <w:rPr>
          <w:lang w:val="bg-BG"/>
        </w:rPr>
        <w:fldChar w:fldCharType="end"/>
      </w:r>
      <w:r w:rsidRPr="00006A07">
        <w:rPr>
          <w:lang w:val="bg-BG"/>
        </w:rPr>
        <w:t xml:space="preserve"> по-долу), определя „лекарствен продукт в хуманната медицина“ като a) </w:t>
      </w:r>
      <w:r w:rsidRPr="00006A07">
        <w:rPr>
          <w:lang w:val="bg-BG" w:eastAsia="bg-BG"/>
        </w:rPr>
        <w:t>всяко вещество или комбинация от вещества, представени като притежаващи свойства за лечение или профилактика на заболявания при хора, или</w:t>
      </w:r>
      <w:r w:rsidRPr="00006A07">
        <w:rPr>
          <w:lang w:val="bg-BG"/>
        </w:rPr>
        <w:t xml:space="preserve"> б) </w:t>
      </w:r>
      <w:r w:rsidRPr="00006A07">
        <w:rPr>
          <w:lang w:val="bg-BG" w:eastAsia="bg-BG"/>
        </w:rPr>
        <w:t xml:space="preserve">всяко вещество или комбинация от вещества, които могат да бъдат използвани или прилагани на хора или с цел възстановяване, коригиране или промяна на физиологични функции чрез фармакологично, </w:t>
      </w:r>
      <w:proofErr w:type="spellStart"/>
      <w:r w:rsidRPr="00006A07">
        <w:rPr>
          <w:lang w:val="bg-BG" w:eastAsia="bg-BG"/>
        </w:rPr>
        <w:t>имунологично</w:t>
      </w:r>
      <w:proofErr w:type="spellEnd"/>
      <w:r w:rsidRPr="00006A07">
        <w:rPr>
          <w:lang w:val="bg-BG" w:eastAsia="bg-BG"/>
        </w:rPr>
        <w:t xml:space="preserve"> или метаболитно действие, или с цел поставяне на медицинска диагноза. Ч</w:t>
      </w:r>
      <w:r w:rsidRPr="00006A07">
        <w:rPr>
          <w:lang w:val="bg-BG"/>
        </w:rPr>
        <w:t xml:space="preserve">лен 3(2), който отразява член 1 § 3 от Директивата, на свой ред определя „вещество“ като </w:t>
      </w:r>
      <w:r w:rsidRPr="00006A07">
        <w:rPr>
          <w:lang w:val="bg-BG" w:eastAsia="bg-BG"/>
        </w:rPr>
        <w:t xml:space="preserve">всяка материя, чийто произход може да бъде човешки (човешка кръв, човешки кръвни продукти и други); животински (микроорганизми, животински органи, екстракти, секрети, токсини, кръвни продукти и други); растителен (микроорганизми, растения, части от растения, растителни екстракти, секрети и други); химически (елементи, </w:t>
      </w:r>
      <w:r w:rsidRPr="00006A07">
        <w:rPr>
          <w:lang w:val="bg-BG" w:eastAsia="bg-BG"/>
        </w:rPr>
        <w:lastRenderedPageBreak/>
        <w:t xml:space="preserve">природни химични материали, синтетични или </w:t>
      </w:r>
      <w:proofErr w:type="spellStart"/>
      <w:r w:rsidRPr="00006A07">
        <w:rPr>
          <w:lang w:val="bg-BG" w:eastAsia="bg-BG"/>
        </w:rPr>
        <w:t>полусинтетични</w:t>
      </w:r>
      <w:proofErr w:type="spellEnd"/>
      <w:r w:rsidRPr="00006A07">
        <w:rPr>
          <w:lang w:val="bg-BG" w:eastAsia="bg-BG"/>
        </w:rPr>
        <w:t xml:space="preserve"> вещества и други). </w:t>
      </w:r>
    </w:p>
    <w:bookmarkStart w:id="12" w:name="RDL_2007_Act_section_7"/>
    <w:p w:rsidR="0095532B" w:rsidRPr="00006A07" w:rsidRDefault="0095532B" w:rsidP="008D7A78">
      <w:pPr>
        <w:pStyle w:val="JuPara"/>
        <w:rPr>
          <w:lang w:val="bg-BG"/>
        </w:rPr>
      </w:pPr>
      <w:r w:rsidRPr="00006A07">
        <w:rPr>
          <w:lang w:val="bg-BG"/>
        </w:rPr>
        <w:fldChar w:fldCharType="begin"/>
      </w:r>
      <w:r w:rsidRPr="00006A07">
        <w:rPr>
          <w:lang w:val="bg-BG"/>
        </w:rPr>
        <w:instrText xml:space="preserve"> SEQ level0 \*arabic </w:instrText>
      </w:r>
      <w:r w:rsidRPr="00006A07">
        <w:rPr>
          <w:lang w:val="bg-BG"/>
        </w:rPr>
        <w:fldChar w:fldCharType="separate"/>
      </w:r>
      <w:r w:rsidRPr="00006A07">
        <w:rPr>
          <w:noProof/>
          <w:lang w:val="bg-BG"/>
        </w:rPr>
        <w:t>22</w:t>
      </w:r>
      <w:r w:rsidRPr="00006A07">
        <w:rPr>
          <w:lang w:val="bg-BG"/>
        </w:rPr>
        <w:fldChar w:fldCharType="end"/>
      </w:r>
      <w:bookmarkEnd w:id="12"/>
      <w:r w:rsidRPr="00006A07">
        <w:rPr>
          <w:lang w:val="bg-BG"/>
        </w:rPr>
        <w:t xml:space="preserve">.  Член 7(1) от Закона предвижда основното правило, че само лекарствени продукти, които са получили разрешение за употреба – в България или съгласно централизираната процедура за издаване на разрешение за употреба съгласно Регламент (EО) № 726/2004 (вж. параграф </w:t>
      </w:r>
      <w:r w:rsidRPr="00006A07">
        <w:rPr>
          <w:lang w:val="bg-BG"/>
        </w:rPr>
        <w:fldChar w:fldCharType="begin"/>
      </w:r>
      <w:r w:rsidRPr="00006A07">
        <w:rPr>
          <w:lang w:val="bg-BG"/>
        </w:rPr>
        <w:instrText xml:space="preserve"> REF REUL_Regulation_726_2004 \h </w:instrText>
      </w:r>
      <w:r w:rsidRPr="00006A07">
        <w:rPr>
          <w:lang w:val="bg-BG"/>
        </w:rPr>
      </w:r>
      <w:r w:rsidRPr="00006A07">
        <w:rPr>
          <w:lang w:val="bg-BG"/>
        </w:rPr>
        <w:fldChar w:fldCharType="separate"/>
      </w:r>
      <w:r w:rsidRPr="00006A07">
        <w:rPr>
          <w:noProof/>
          <w:lang w:val="bg-BG"/>
        </w:rPr>
        <w:t>48</w:t>
      </w:r>
      <w:r w:rsidRPr="00006A07">
        <w:rPr>
          <w:lang w:val="bg-BG"/>
        </w:rPr>
        <w:fldChar w:fldCharType="end"/>
      </w:r>
      <w:r w:rsidRPr="00006A07">
        <w:rPr>
          <w:lang w:val="bg-BG"/>
        </w:rPr>
        <w:t xml:space="preserve"> по-долу) – могат да бъдат произвеждани, внасяни, продавани, рекламирани или използвани за медицинско лечение, профилактика или диагностика. </w:t>
      </w:r>
    </w:p>
    <w:bookmarkStart w:id="13" w:name="RDL_2007_Act_sections_8_10_11"/>
    <w:p w:rsidR="0095532B" w:rsidRPr="00006A07" w:rsidRDefault="0095532B" w:rsidP="008D7A78">
      <w:pPr>
        <w:pStyle w:val="JuPara"/>
        <w:rPr>
          <w:lang w:val="bg-BG"/>
        </w:rPr>
      </w:pPr>
      <w:r w:rsidRPr="00006A07">
        <w:rPr>
          <w:lang w:val="bg-BG"/>
        </w:rPr>
        <w:fldChar w:fldCharType="begin"/>
      </w:r>
      <w:r w:rsidRPr="00006A07">
        <w:rPr>
          <w:lang w:val="bg-BG"/>
        </w:rPr>
        <w:instrText xml:space="preserve"> SEQ level0 \*arabic </w:instrText>
      </w:r>
      <w:r w:rsidRPr="00006A07">
        <w:rPr>
          <w:lang w:val="bg-BG"/>
        </w:rPr>
        <w:fldChar w:fldCharType="separate"/>
      </w:r>
      <w:r w:rsidRPr="00006A07">
        <w:rPr>
          <w:noProof/>
          <w:lang w:val="bg-BG"/>
        </w:rPr>
        <w:t>23</w:t>
      </w:r>
      <w:r w:rsidRPr="00006A07">
        <w:rPr>
          <w:lang w:val="bg-BG"/>
        </w:rPr>
        <w:fldChar w:fldCharType="end"/>
      </w:r>
      <w:bookmarkEnd w:id="13"/>
      <w:r w:rsidRPr="00006A07">
        <w:rPr>
          <w:lang w:val="bg-BG"/>
        </w:rPr>
        <w:t xml:space="preserve">.  Следващите членове предвиждат определени изключения от това правило. Член 8 предвижда, че не се изисква разрешение за употреба по отношение на: a) лекарствени продукти, </w:t>
      </w:r>
      <w:r w:rsidRPr="00006A07">
        <w:rPr>
          <w:lang w:val="bg-BG" w:eastAsia="bg-BG"/>
        </w:rPr>
        <w:t>приготвени по магистрална рецептура в аптека</w:t>
      </w:r>
      <w:r w:rsidRPr="00006A07">
        <w:rPr>
          <w:lang w:val="bg-BG"/>
        </w:rPr>
        <w:t xml:space="preserve">; б) лекарствени продукти, </w:t>
      </w:r>
      <w:r w:rsidRPr="00006A07">
        <w:rPr>
          <w:lang w:val="bg-BG" w:eastAsia="bg-BG"/>
        </w:rPr>
        <w:t xml:space="preserve">приготвени по </w:t>
      </w:r>
      <w:proofErr w:type="spellStart"/>
      <w:r w:rsidRPr="00006A07">
        <w:rPr>
          <w:lang w:val="bg-BG" w:eastAsia="bg-BG"/>
        </w:rPr>
        <w:t>фармакопейна</w:t>
      </w:r>
      <w:proofErr w:type="spellEnd"/>
      <w:r w:rsidRPr="00006A07">
        <w:rPr>
          <w:lang w:val="bg-BG" w:eastAsia="bg-BG"/>
        </w:rPr>
        <w:t xml:space="preserve"> рецептура в аптека</w:t>
      </w:r>
      <w:r w:rsidRPr="00006A07">
        <w:rPr>
          <w:lang w:val="bg-BG"/>
        </w:rPr>
        <w:t xml:space="preserve">; и в) лекарствени продукти </w:t>
      </w:r>
      <w:r w:rsidRPr="00006A07">
        <w:rPr>
          <w:lang w:val="bg-BG" w:eastAsia="bg-BG"/>
        </w:rPr>
        <w:t xml:space="preserve">за „високотехнологична терапия“, които се изготвят за конкретен пациент по индивидуално лекарско предписание съобразно специфични стандарти за качество и се прилага в лечебно заведение на изключителната професионална отговорност на лекаря. </w:t>
      </w:r>
    </w:p>
    <w:p w:rsidR="0095532B" w:rsidRPr="00006A07" w:rsidRDefault="0095532B" w:rsidP="008D7A78">
      <w:pPr>
        <w:pStyle w:val="JuPara"/>
        <w:ind w:firstLine="0"/>
        <w:rPr>
          <w:lang w:val="bg-BG"/>
        </w:rPr>
      </w:pPr>
      <w:r w:rsidRPr="00006A07">
        <w:rPr>
          <w:lang w:val="bg-BG"/>
        </w:rPr>
        <w:t xml:space="preserve">Член 10(1) </w:t>
      </w:r>
      <w:proofErr w:type="spellStart"/>
      <w:r w:rsidRPr="00006A07">
        <w:rPr>
          <w:lang w:val="bg-BG"/>
        </w:rPr>
        <w:t>овластява</w:t>
      </w:r>
      <w:proofErr w:type="spellEnd"/>
      <w:r w:rsidRPr="00006A07">
        <w:rPr>
          <w:lang w:val="bg-BG"/>
        </w:rPr>
        <w:t xml:space="preserve"> министъра на здравеопазването, при определени условия, да разрешава лечение с лекарствен продукт, който не е разрешен по реда на глава трета, когато в страната има обявена епидемия или има разпространение на химически агенти или ядрена радиация и няма подходящ разрешен за употреба лекарствен продукт. Член 11(1) дава право на министъра при определени условия да разреши за употреба лекарствен продукт, който не е разрешен за употреба на територията на Република България, но е разрешен в друга държава – членка на Европейския съюз. </w:t>
      </w:r>
    </w:p>
    <w:bookmarkStart w:id="14" w:name="RDL_2007_Act_section_9"/>
    <w:p w:rsidR="0095532B" w:rsidRPr="00006A07" w:rsidRDefault="0095532B" w:rsidP="008D7A78">
      <w:pPr>
        <w:pStyle w:val="JuPara"/>
        <w:rPr>
          <w:lang w:val="bg-BG"/>
        </w:rPr>
      </w:pPr>
      <w:r w:rsidRPr="00006A07">
        <w:rPr>
          <w:lang w:val="bg-BG"/>
        </w:rPr>
        <w:fldChar w:fldCharType="begin"/>
      </w:r>
      <w:r w:rsidRPr="00006A07">
        <w:rPr>
          <w:lang w:val="bg-BG"/>
        </w:rPr>
        <w:instrText xml:space="preserve"> SEQ level0 \*arabic </w:instrText>
      </w:r>
      <w:r w:rsidRPr="00006A07">
        <w:rPr>
          <w:lang w:val="bg-BG"/>
        </w:rPr>
        <w:fldChar w:fldCharType="separate"/>
      </w:r>
      <w:r w:rsidRPr="00006A07">
        <w:rPr>
          <w:noProof/>
          <w:lang w:val="bg-BG"/>
        </w:rPr>
        <w:t>24</w:t>
      </w:r>
      <w:r w:rsidRPr="00006A07">
        <w:rPr>
          <w:lang w:val="bg-BG"/>
        </w:rPr>
        <w:fldChar w:fldCharType="end"/>
      </w:r>
      <w:bookmarkEnd w:id="14"/>
      <w:r w:rsidRPr="00006A07">
        <w:rPr>
          <w:lang w:val="bg-BG"/>
        </w:rPr>
        <w:t>.  Член 9(1) предвижда, че лечение на конкретен пациент може да се прилага с лекарствен продукт, който не е разрешен, ако лечебно заведение за болнична помощ направи специална поръчка. Условията и редът за това се определят с наредба на министъра на здравеопазването.</w:t>
      </w:r>
    </w:p>
    <w:bookmarkStart w:id="15" w:name="RDL_Regulations_2"/>
    <w:p w:rsidR="0095532B" w:rsidRPr="00006A07" w:rsidRDefault="0095532B" w:rsidP="008D7A78">
      <w:pPr>
        <w:pStyle w:val="JuPara"/>
        <w:rPr>
          <w:lang w:val="bg-BG"/>
        </w:rPr>
      </w:pPr>
      <w:r w:rsidRPr="00006A07">
        <w:rPr>
          <w:lang w:val="bg-BG"/>
        </w:rPr>
        <w:fldChar w:fldCharType="begin"/>
      </w:r>
      <w:r w:rsidRPr="00006A07">
        <w:rPr>
          <w:lang w:val="bg-BG"/>
        </w:rPr>
        <w:instrText xml:space="preserve"> SEQ level0 \*arabic </w:instrText>
      </w:r>
      <w:r w:rsidRPr="00006A07">
        <w:rPr>
          <w:lang w:val="bg-BG"/>
        </w:rPr>
        <w:fldChar w:fldCharType="separate"/>
      </w:r>
      <w:r w:rsidRPr="00006A07">
        <w:rPr>
          <w:noProof/>
          <w:lang w:val="bg-BG"/>
        </w:rPr>
        <w:t>25</w:t>
      </w:r>
      <w:r w:rsidRPr="00006A07">
        <w:rPr>
          <w:lang w:val="bg-BG"/>
        </w:rPr>
        <w:fldChar w:fldCharType="end"/>
      </w:r>
      <w:bookmarkEnd w:id="15"/>
      <w:r w:rsidRPr="00006A07">
        <w:rPr>
          <w:lang w:val="bg-BG"/>
        </w:rPr>
        <w:t xml:space="preserve">. Подзаконовият акт, който урежда този въпрос към момента, в който жалбоподателите отправят исканията си да им бъде разрешена употребата на </w:t>
      </w:r>
      <w:proofErr w:type="spellStart"/>
      <w:r w:rsidRPr="00006A07">
        <w:rPr>
          <w:lang w:val="bg-BG"/>
        </w:rPr>
        <w:t>MBVax</w:t>
      </w:r>
      <w:proofErr w:type="spellEnd"/>
      <w:r w:rsidRPr="00006A07">
        <w:rPr>
          <w:lang w:val="bg-BG"/>
        </w:rPr>
        <w:t xml:space="preserve"> </w:t>
      </w:r>
      <w:proofErr w:type="spellStart"/>
      <w:r w:rsidRPr="00006A07">
        <w:rPr>
          <w:lang w:val="bg-BG"/>
        </w:rPr>
        <w:t>Coley</w:t>
      </w:r>
      <w:proofErr w:type="spellEnd"/>
      <w:r w:rsidRPr="00006A07">
        <w:rPr>
          <w:lang w:val="bg-BG"/>
        </w:rPr>
        <w:t xml:space="preserve"> </w:t>
      </w:r>
      <w:proofErr w:type="spellStart"/>
      <w:r w:rsidRPr="00006A07">
        <w:rPr>
          <w:lang w:val="bg-BG"/>
        </w:rPr>
        <w:t>Fluid</w:t>
      </w:r>
      <w:proofErr w:type="spellEnd"/>
      <w:r w:rsidRPr="00006A07">
        <w:rPr>
          <w:lang w:val="bg-BG"/>
        </w:rPr>
        <w:t xml:space="preserve">, е Наредба № 2 от 10 януари 2001 г. за условията и реда за лечение с неразрешени за употреба в Република България лекарствени продукти. Тя отменя Наредба № 18 от 28 юни 1995 г. за условията и реда за лечение с нерегистрирани лекарствени средства. И двете наредби са издадени въз основа на член 35(3) от Закона за лекарствата и аптеките в хуманната медицина от 1995 г., отменен със закона от 2007 г., който предвижда, че лекарствени продукти, необходими за лечение на заболявания при специфични показания, в случаите, когато лечението с разрешените за употреба лекарствени продукти е без резултат, биват освободени от изискването </w:t>
      </w:r>
      <w:r w:rsidRPr="00006A07">
        <w:rPr>
          <w:lang w:val="bg-BG"/>
        </w:rPr>
        <w:lastRenderedPageBreak/>
        <w:t xml:space="preserve">за получаване на разрешение за употреба, при условия и по ред, определени от министъра на здравеопазването. </w:t>
      </w:r>
    </w:p>
    <w:bookmarkStart w:id="16" w:name="RDL_Regulations_2_2"/>
    <w:p w:rsidR="0095532B" w:rsidRPr="00006A07" w:rsidRDefault="0095532B" w:rsidP="008D7A78">
      <w:pPr>
        <w:pStyle w:val="JuPara"/>
        <w:rPr>
          <w:lang w:val="bg-BG"/>
        </w:rPr>
      </w:pPr>
      <w:r w:rsidRPr="00006A07">
        <w:rPr>
          <w:lang w:val="bg-BG"/>
        </w:rPr>
        <w:fldChar w:fldCharType="begin"/>
      </w:r>
      <w:r w:rsidRPr="00006A07">
        <w:rPr>
          <w:lang w:val="bg-BG"/>
        </w:rPr>
        <w:instrText xml:space="preserve"> SEQ level0 \*arabic </w:instrText>
      </w:r>
      <w:r w:rsidRPr="00006A07">
        <w:rPr>
          <w:lang w:val="bg-BG"/>
        </w:rPr>
        <w:fldChar w:fldCharType="separate"/>
      </w:r>
      <w:r w:rsidRPr="00006A07">
        <w:rPr>
          <w:noProof/>
          <w:lang w:val="bg-BG"/>
        </w:rPr>
        <w:t>26</w:t>
      </w:r>
      <w:r w:rsidRPr="00006A07">
        <w:rPr>
          <w:lang w:val="bg-BG"/>
        </w:rPr>
        <w:fldChar w:fldCharType="end"/>
      </w:r>
      <w:bookmarkEnd w:id="16"/>
      <w:r w:rsidRPr="00006A07">
        <w:rPr>
          <w:lang w:val="bg-BG"/>
        </w:rPr>
        <w:t xml:space="preserve">.  Член 2 от Наредба № 2 предвижда, че лекарствените продукти, които не са разрешени за употреба в страната, могат да се предписват, при условие че са разрешени за употреба в други страни и са предназначени за лечение на редки заболявания или специфични показания, когато лечението с разрешените за употреба лекарствени продукти е без резултат. </w:t>
      </w:r>
    </w:p>
    <w:bookmarkStart w:id="17" w:name="RDL_Regulations_18_1"/>
    <w:p w:rsidR="0095532B" w:rsidRPr="00006A07" w:rsidRDefault="0095532B" w:rsidP="008D7A78">
      <w:pPr>
        <w:pStyle w:val="JuPara"/>
        <w:rPr>
          <w:lang w:val="bg-BG"/>
        </w:rPr>
      </w:pPr>
      <w:r w:rsidRPr="00006A07">
        <w:rPr>
          <w:lang w:val="bg-BG"/>
        </w:rPr>
        <w:fldChar w:fldCharType="begin"/>
      </w:r>
      <w:r w:rsidRPr="00006A07">
        <w:rPr>
          <w:lang w:val="bg-BG"/>
        </w:rPr>
        <w:instrText xml:space="preserve"> SEQ level0 \*arabic </w:instrText>
      </w:r>
      <w:r w:rsidRPr="00006A07">
        <w:rPr>
          <w:lang w:val="bg-BG"/>
        </w:rPr>
        <w:fldChar w:fldCharType="separate"/>
      </w:r>
      <w:r w:rsidRPr="00006A07">
        <w:rPr>
          <w:noProof/>
          <w:lang w:val="bg-BG"/>
        </w:rPr>
        <w:t>27</w:t>
      </w:r>
      <w:r w:rsidRPr="00006A07">
        <w:rPr>
          <w:lang w:val="bg-BG"/>
        </w:rPr>
        <w:fldChar w:fldCharType="end"/>
      </w:r>
      <w:bookmarkEnd w:id="17"/>
      <w:r w:rsidRPr="00006A07">
        <w:rPr>
          <w:lang w:val="bg-BG"/>
        </w:rPr>
        <w:t>.  Подобни изисквания са били предвидени и в член 1 от Наредба № 18. Съгласно тази разпоредба, лекарствени продукти, които не са регистрирани в България, биха могли да бъдат използвани само ако са регистрирани в други държави и ако заболяването, за чието лечение са предназначени, или не би могло да се лекува с продукти, регистрирани в България, или такова лечение е било без резултат.</w:t>
      </w:r>
      <w:bookmarkStart w:id="18" w:name="RDL_Regulations_2_procedure"/>
    </w:p>
    <w:p w:rsidR="0095532B" w:rsidRPr="00006A07" w:rsidRDefault="0095532B" w:rsidP="008D7A78">
      <w:pPr>
        <w:pStyle w:val="JuPara"/>
        <w:rPr>
          <w:lang w:val="bg-BG"/>
        </w:rPr>
      </w:pPr>
      <w:r w:rsidRPr="00006A07">
        <w:rPr>
          <w:lang w:val="bg-BG"/>
        </w:rPr>
        <w:fldChar w:fldCharType="begin"/>
      </w:r>
      <w:r w:rsidRPr="00006A07">
        <w:rPr>
          <w:lang w:val="bg-BG"/>
        </w:rPr>
        <w:instrText xml:space="preserve"> SEQ level0 \*arabic </w:instrText>
      </w:r>
      <w:r w:rsidRPr="00006A07">
        <w:rPr>
          <w:lang w:val="bg-BG"/>
        </w:rPr>
        <w:fldChar w:fldCharType="separate"/>
      </w:r>
      <w:r w:rsidRPr="00006A07">
        <w:rPr>
          <w:noProof/>
          <w:lang w:val="bg-BG"/>
        </w:rPr>
        <w:t>28</w:t>
      </w:r>
      <w:r w:rsidRPr="00006A07">
        <w:rPr>
          <w:lang w:val="bg-BG"/>
        </w:rPr>
        <w:fldChar w:fldCharType="end"/>
      </w:r>
      <w:bookmarkEnd w:id="18"/>
      <w:r w:rsidRPr="00006A07">
        <w:rPr>
          <w:lang w:val="bg-BG"/>
        </w:rPr>
        <w:t>.  Редът, предвиден в Наредба № 2, е следният. Неразрешеният за употреба лекарствен продукт трябва да бъде предписан от комисия от трима лекари, назначени от ръководителя на лечебното заведение (един от които специалист по профила на конкретното заболяване, за което се свиква комисията) (член 3(1) и 3(2)). Предписанието не би могло да обхваща период, по-дълъг от три месеца (член 3(4)). Предписанието на комисията следва да бъде утвърдено от ръководителя на лечебното заведение (член 3(</w:t>
      </w:r>
      <w:proofErr w:type="spellStart"/>
      <w:r w:rsidRPr="00006A07">
        <w:rPr>
          <w:lang w:val="bg-BG"/>
        </w:rPr>
        <w:t>3</w:t>
      </w:r>
      <w:proofErr w:type="spellEnd"/>
      <w:r w:rsidRPr="00006A07">
        <w:rPr>
          <w:lang w:val="bg-BG"/>
        </w:rPr>
        <w:t>)) и изпратено на Изпълнителната агенция по лекарствата, заедно с декларация от пациента (или негов/неин родител или настойник, в зависимост от случая), че е съгласен/съгласна да бъде лекуван/а с неразрешения за употреба продукт (член 4(2)). Изпълнителната агенция по лекарствата има срок от десет работни дни, в които да вземе решение дали да даде разрешение. Ако съответните изисквания на са изпълнени, Агенцията постановява отказ, който може да бъде обжалван в 7-дневен срок пред министъра на здравеопазването, който следва да се произнесе по жалбата в 7-дневен срок (член 5(1)).</w:t>
      </w:r>
    </w:p>
    <w:bookmarkStart w:id="19" w:name="RDL_Regulations_2_procedure_bis"/>
    <w:p w:rsidR="0095532B" w:rsidRPr="00006A07" w:rsidRDefault="0095532B" w:rsidP="008D7A78">
      <w:pPr>
        <w:pStyle w:val="JuPara"/>
        <w:rPr>
          <w:lang w:val="bg-BG"/>
        </w:rPr>
      </w:pPr>
      <w:r w:rsidRPr="00006A07">
        <w:rPr>
          <w:lang w:val="bg-BG"/>
        </w:rPr>
        <w:fldChar w:fldCharType="begin"/>
      </w:r>
      <w:r w:rsidRPr="00006A07">
        <w:rPr>
          <w:lang w:val="bg-BG"/>
        </w:rPr>
        <w:instrText xml:space="preserve"> SEQ level0 \*arabic </w:instrText>
      </w:r>
      <w:r w:rsidRPr="00006A07">
        <w:rPr>
          <w:lang w:val="bg-BG"/>
        </w:rPr>
        <w:fldChar w:fldCharType="separate"/>
      </w:r>
      <w:r w:rsidRPr="00006A07">
        <w:rPr>
          <w:noProof/>
          <w:lang w:val="bg-BG"/>
        </w:rPr>
        <w:t>29</w:t>
      </w:r>
      <w:r w:rsidRPr="00006A07">
        <w:rPr>
          <w:lang w:val="bg-BG"/>
        </w:rPr>
        <w:fldChar w:fldCharType="end"/>
      </w:r>
      <w:bookmarkEnd w:id="19"/>
      <w:r w:rsidRPr="00006A07">
        <w:rPr>
          <w:lang w:val="bg-BG"/>
        </w:rPr>
        <w:t>.  Ако нуждата от неразрешен за употреба животоспасяващ продукт възникне в лечебно заведение, различно от болница, ръководителят на това лечебно заведение може да изготви документ, посочващ продукта и необходимото количество, и след като получи съгласието на Изпълнителната агенция по лекарствата, да подаде искане за разрешение до министъра на здравеопазването. След това министърът взема решение, в което посочва съответните продукт, количество и получатели (член 8(1)).</w:t>
      </w:r>
    </w:p>
    <w:bookmarkStart w:id="20" w:name="RDL_Regulations_10"/>
    <w:p w:rsidR="0095532B" w:rsidRPr="00006A07" w:rsidRDefault="0095532B" w:rsidP="008D7A78">
      <w:pPr>
        <w:pStyle w:val="JuPara"/>
        <w:rPr>
          <w:lang w:val="bg-BG"/>
        </w:rPr>
      </w:pPr>
      <w:r w:rsidRPr="00006A07">
        <w:rPr>
          <w:lang w:val="bg-BG"/>
        </w:rPr>
        <w:fldChar w:fldCharType="begin"/>
      </w:r>
      <w:r w:rsidRPr="00006A07">
        <w:rPr>
          <w:lang w:val="bg-BG"/>
        </w:rPr>
        <w:instrText xml:space="preserve"> SEQ level0 \*arabic </w:instrText>
      </w:r>
      <w:r w:rsidRPr="00006A07">
        <w:rPr>
          <w:lang w:val="bg-BG"/>
        </w:rPr>
        <w:fldChar w:fldCharType="separate"/>
      </w:r>
      <w:r w:rsidRPr="00006A07">
        <w:rPr>
          <w:noProof/>
          <w:lang w:val="bg-BG"/>
        </w:rPr>
        <w:t>30</w:t>
      </w:r>
      <w:r w:rsidRPr="00006A07">
        <w:rPr>
          <w:lang w:val="bg-BG"/>
        </w:rPr>
        <w:fldChar w:fldCharType="end"/>
      </w:r>
      <w:bookmarkEnd w:id="20"/>
      <w:r w:rsidRPr="00006A07">
        <w:rPr>
          <w:lang w:val="bg-BG"/>
        </w:rPr>
        <w:t xml:space="preserve">.  На 6 декември 2011 г. Наредба № 2 е отменена с Наредба № 10 от 17 ноември 2011 г. за условията и реда за лечение с неразрешени за употреба в Република България лекарствени продукти, както и за условията и реда за включване, промени, изключване и доставка на </w:t>
      </w:r>
      <w:r w:rsidRPr="00006A07">
        <w:rPr>
          <w:lang w:val="bg-BG"/>
        </w:rPr>
        <w:lastRenderedPageBreak/>
        <w:t>лекарствени продукти от списъка по чл. 266а, ал. 2 от Закона за лекарствените продукти в хуманната медицина.</w:t>
      </w:r>
      <w:bookmarkStart w:id="21" w:name="RDL_Regulations_10_substantive"/>
    </w:p>
    <w:p w:rsidR="0095532B" w:rsidRPr="00006A07" w:rsidRDefault="0095532B" w:rsidP="008D7A78">
      <w:pPr>
        <w:pStyle w:val="JuPara"/>
        <w:rPr>
          <w:lang w:val="bg-BG"/>
        </w:rPr>
      </w:pPr>
      <w:r w:rsidRPr="00006A07">
        <w:rPr>
          <w:lang w:val="bg-BG"/>
        </w:rPr>
        <w:fldChar w:fldCharType="begin"/>
      </w:r>
      <w:r w:rsidRPr="00006A07">
        <w:rPr>
          <w:lang w:val="bg-BG"/>
        </w:rPr>
        <w:instrText xml:space="preserve"> SEQ level0 \*arabic </w:instrText>
      </w:r>
      <w:r w:rsidRPr="00006A07">
        <w:rPr>
          <w:lang w:val="bg-BG"/>
        </w:rPr>
        <w:fldChar w:fldCharType="separate"/>
      </w:r>
      <w:r w:rsidRPr="00006A07">
        <w:rPr>
          <w:noProof/>
          <w:lang w:val="bg-BG"/>
        </w:rPr>
        <w:t>31</w:t>
      </w:r>
      <w:r w:rsidRPr="00006A07">
        <w:rPr>
          <w:lang w:val="bg-BG"/>
        </w:rPr>
        <w:fldChar w:fldCharType="end"/>
      </w:r>
      <w:bookmarkEnd w:id="21"/>
      <w:r w:rsidRPr="00006A07">
        <w:rPr>
          <w:lang w:val="bg-BG"/>
        </w:rPr>
        <w:t>.  Член 1(2) предвижда, че само лекарствени продукти, които могат да бъдат предписани от лекар в друга държава, могат да бъдат разрешавани за употреба по Наредбата. Член 2(1) предвижда, че лекарствени продукти, предназначени за употреба от конкретен пациент, могат да бъдат предписвани, ако са разрешени за употреба в други държави и лечението с разрешените за употреба в Република България лекарствени продукти е невъзможно или е без резултат. Член 3(1) гласи, че болниците могат също да се снабдяват с неразрешени за употреба лекарствени продукти, ако те са осигурени в изпълнение на „международни и национални програми“ или от международна организация, която единствена може да осигури съответния продукт.</w:t>
      </w:r>
    </w:p>
    <w:bookmarkStart w:id="22" w:name="RDL_Regulations_10_procedure"/>
    <w:p w:rsidR="0095532B" w:rsidRPr="00006A07" w:rsidRDefault="0095532B" w:rsidP="008D7A78">
      <w:pPr>
        <w:pStyle w:val="JuPara"/>
        <w:rPr>
          <w:lang w:val="bg-BG"/>
        </w:rPr>
      </w:pPr>
      <w:r w:rsidRPr="00006A07">
        <w:rPr>
          <w:lang w:val="bg-BG"/>
        </w:rPr>
        <w:fldChar w:fldCharType="begin"/>
      </w:r>
      <w:r w:rsidRPr="00006A07">
        <w:rPr>
          <w:lang w:val="bg-BG"/>
        </w:rPr>
        <w:instrText xml:space="preserve"> SEQ level0 \*arabic </w:instrText>
      </w:r>
      <w:r w:rsidRPr="00006A07">
        <w:rPr>
          <w:lang w:val="bg-BG"/>
        </w:rPr>
        <w:fldChar w:fldCharType="separate"/>
      </w:r>
      <w:r w:rsidRPr="00006A07">
        <w:rPr>
          <w:noProof/>
          <w:lang w:val="bg-BG"/>
        </w:rPr>
        <w:t>32</w:t>
      </w:r>
      <w:r w:rsidRPr="00006A07">
        <w:rPr>
          <w:lang w:val="bg-BG"/>
        </w:rPr>
        <w:fldChar w:fldCharType="end"/>
      </w:r>
      <w:bookmarkEnd w:id="22"/>
      <w:r w:rsidRPr="00006A07">
        <w:rPr>
          <w:lang w:val="bg-BG"/>
        </w:rPr>
        <w:t>.  Редът по Наредба № 10 е следният. Неразрешеният за употреба лекарствен продукт трябва да бъде предписан от комисия от трима лекари, назначени от ръководителя на лечебното заведение (един от които специалист по профила на конкретното заболяване, за което се свиква комисията) (членове 4, 5(1) и 6(1)). Предписанието трябва да бъде придружено с писменото информирано съгласие на пациента (или негов/неин родител или настойник, в зависимост от случая), (членове 5(2) и 6(4)), и не може да обхваща период от повече от три месеца (членове 5(3) и 6(2)). Предписанието трябва след това да бъде одобрено от ръководителя на лечебното заведение (член 7(1)). След това Изпълнителната агенция по лекарствата трябва или да даде разрешение, или да издаде мотивиран отказ (член 8(1)). Тя трябва да издаде мотивиран отказ, ако формата на предписанието или лекарствените продукти, за които то се отнася, не отговарят на изискванията на Наредбата (член 8(2)). Отказът на агенцията подлежи на обжалване по административен и съдебен ред (член 8(3)).</w:t>
      </w:r>
    </w:p>
    <w:bookmarkStart w:id="23" w:name="RDL_2007_Act_section_266a"/>
    <w:p w:rsidR="0095532B" w:rsidRPr="00006A07" w:rsidRDefault="0095532B" w:rsidP="008D7A78">
      <w:pPr>
        <w:pStyle w:val="JuPara"/>
        <w:rPr>
          <w:lang w:val="bg-BG"/>
        </w:rPr>
      </w:pPr>
      <w:r w:rsidRPr="00006A07">
        <w:rPr>
          <w:lang w:val="bg-BG"/>
        </w:rPr>
        <w:fldChar w:fldCharType="begin"/>
      </w:r>
      <w:r w:rsidRPr="00006A07">
        <w:rPr>
          <w:lang w:val="bg-BG"/>
        </w:rPr>
        <w:instrText xml:space="preserve"> SEQ level0 \*arabic </w:instrText>
      </w:r>
      <w:r w:rsidRPr="00006A07">
        <w:rPr>
          <w:lang w:val="bg-BG"/>
        </w:rPr>
        <w:fldChar w:fldCharType="separate"/>
      </w:r>
      <w:r w:rsidRPr="00006A07">
        <w:rPr>
          <w:noProof/>
          <w:lang w:val="bg-BG"/>
        </w:rPr>
        <w:t>33</w:t>
      </w:r>
      <w:r w:rsidRPr="00006A07">
        <w:rPr>
          <w:lang w:val="bg-BG"/>
        </w:rPr>
        <w:fldChar w:fldCharType="end"/>
      </w:r>
      <w:bookmarkEnd w:id="23"/>
      <w:r w:rsidRPr="00006A07">
        <w:rPr>
          <w:lang w:val="bg-BG"/>
        </w:rPr>
        <w:t>.  На 21 юли 2011 г. парламентът добавя нов член 266a в закона от 2007 г. Той влиза в сила на 5 август 2011 г. и предвижда, в алинея 1, че когато лечението на съответно заболяване е без алтернатива в страната, за конкретен пациент може да се прилага лекарствен продукт, който е разрешен за употреба в държава – членка на Европейския съюз, разрешен е за употреба по реда на този закон, но не се разпространява на българския пазар. Министърът на здравеопазването трябва да утвърди списък на тези лекарствени продукти и да го актуализира ежегодно (член 2). Обяснителната записка към закона за изменение и допълнение посочва нуждата да се разреши на българските пациенти достъп да разрешени за употреба лекарствени средства, които не се продават на българския пазар, но са налични в другите държ</w:t>
      </w:r>
      <w:bookmarkStart w:id="24" w:name="RDL_Regulations_18_2_10_no_case_law"/>
      <w:r w:rsidRPr="00006A07">
        <w:rPr>
          <w:lang w:val="bg-BG"/>
        </w:rPr>
        <w:t>ави-членки на Европейския съюз.</w:t>
      </w:r>
    </w:p>
    <w:p w:rsidR="0095532B" w:rsidRPr="00006A07" w:rsidRDefault="0095532B" w:rsidP="008D7A78">
      <w:pPr>
        <w:pStyle w:val="JuPara"/>
        <w:rPr>
          <w:lang w:val="bg-BG"/>
        </w:rPr>
      </w:pPr>
      <w:r w:rsidRPr="00006A07">
        <w:rPr>
          <w:lang w:val="bg-BG"/>
        </w:rPr>
        <w:lastRenderedPageBreak/>
        <w:fldChar w:fldCharType="begin"/>
      </w:r>
      <w:r w:rsidRPr="00006A07">
        <w:rPr>
          <w:lang w:val="bg-BG"/>
        </w:rPr>
        <w:instrText xml:space="preserve"> SEQ level0 \*arabic </w:instrText>
      </w:r>
      <w:r w:rsidRPr="00006A07">
        <w:rPr>
          <w:lang w:val="bg-BG"/>
        </w:rPr>
        <w:fldChar w:fldCharType="separate"/>
      </w:r>
      <w:r w:rsidRPr="00006A07">
        <w:rPr>
          <w:noProof/>
          <w:lang w:val="bg-BG"/>
        </w:rPr>
        <w:t>34</w:t>
      </w:r>
      <w:r w:rsidRPr="00006A07">
        <w:rPr>
          <w:lang w:val="bg-BG"/>
        </w:rPr>
        <w:fldChar w:fldCharType="end"/>
      </w:r>
      <w:bookmarkEnd w:id="24"/>
      <w:r w:rsidRPr="00006A07">
        <w:rPr>
          <w:lang w:val="bg-BG"/>
        </w:rPr>
        <w:t>.  Няма данни за съдебна практика по която и да било от трите последователни наредби (Наредба № 18, Наредба № 2 и Наредба № 10).</w:t>
      </w:r>
    </w:p>
    <w:p w:rsidR="0095532B" w:rsidRPr="00006A07" w:rsidRDefault="0095532B" w:rsidP="008D7A78">
      <w:pPr>
        <w:pStyle w:val="JuHA"/>
        <w:rPr>
          <w:lang w:val="bg-BG"/>
        </w:rPr>
      </w:pPr>
      <w:r w:rsidRPr="00006A07">
        <w:rPr>
          <w:lang w:val="bg-BG"/>
        </w:rPr>
        <w:t>В.  Административно-процесуален кодекс от 2006 г.</w:t>
      </w:r>
    </w:p>
    <w:bookmarkStart w:id="25" w:name="RDL_CAP_individual_decisions"/>
    <w:p w:rsidR="0095532B" w:rsidRPr="00006A07" w:rsidRDefault="0095532B" w:rsidP="008D7A78">
      <w:pPr>
        <w:pStyle w:val="JuPara"/>
        <w:rPr>
          <w:lang w:val="bg-BG"/>
        </w:rPr>
      </w:pPr>
      <w:r w:rsidRPr="00006A07">
        <w:rPr>
          <w:lang w:val="bg-BG"/>
        </w:rPr>
        <w:fldChar w:fldCharType="begin"/>
      </w:r>
      <w:r w:rsidRPr="00006A07">
        <w:rPr>
          <w:lang w:val="bg-BG"/>
        </w:rPr>
        <w:instrText xml:space="preserve"> SEQ level0 \*arabic </w:instrText>
      </w:r>
      <w:r w:rsidRPr="00006A07">
        <w:rPr>
          <w:lang w:val="bg-BG"/>
        </w:rPr>
        <w:fldChar w:fldCharType="separate"/>
      </w:r>
      <w:r w:rsidRPr="00006A07">
        <w:rPr>
          <w:noProof/>
          <w:lang w:val="bg-BG"/>
        </w:rPr>
        <w:t>35</w:t>
      </w:r>
      <w:r w:rsidRPr="00006A07">
        <w:rPr>
          <w:lang w:val="bg-BG"/>
        </w:rPr>
        <w:fldChar w:fldCharType="end"/>
      </w:r>
      <w:bookmarkEnd w:id="25"/>
      <w:r w:rsidRPr="00006A07">
        <w:rPr>
          <w:lang w:val="bg-BG"/>
        </w:rPr>
        <w:t>.  Съгласно Административно-процесуалния кодекс от 2006 г. индивидуалните административни актове могат да бъдат оспорвани от засегнатите от тях лица пред съд на основание на тяхната незаконосъобразност (членове 145, ал. 1 и 147, ал. 1). Като правило, няма изискване първо да бъде изчерпана възможността за оспорване по административен ред (член 148).</w:t>
      </w:r>
    </w:p>
    <w:bookmarkStart w:id="26" w:name="RDL_CAP_statutory_instruments"/>
    <w:p w:rsidR="0095532B" w:rsidRPr="00006A07" w:rsidRDefault="0095532B" w:rsidP="008D7A78">
      <w:pPr>
        <w:pStyle w:val="JuPara"/>
        <w:rPr>
          <w:lang w:val="bg-BG"/>
        </w:rPr>
      </w:pPr>
      <w:r w:rsidRPr="00006A07">
        <w:rPr>
          <w:lang w:val="bg-BG"/>
        </w:rPr>
        <w:fldChar w:fldCharType="begin"/>
      </w:r>
      <w:r w:rsidRPr="00006A07">
        <w:rPr>
          <w:lang w:val="bg-BG"/>
        </w:rPr>
        <w:instrText xml:space="preserve"> SEQ level0 \*arabic </w:instrText>
      </w:r>
      <w:r w:rsidRPr="00006A07">
        <w:rPr>
          <w:lang w:val="bg-BG"/>
        </w:rPr>
        <w:fldChar w:fldCharType="separate"/>
      </w:r>
      <w:r w:rsidRPr="00006A07">
        <w:rPr>
          <w:noProof/>
          <w:lang w:val="bg-BG"/>
        </w:rPr>
        <w:t>36</w:t>
      </w:r>
      <w:r w:rsidRPr="00006A07">
        <w:rPr>
          <w:lang w:val="bg-BG"/>
        </w:rPr>
        <w:fldChar w:fldCharType="end"/>
      </w:r>
      <w:bookmarkEnd w:id="26"/>
      <w:r w:rsidRPr="00006A07">
        <w:rPr>
          <w:lang w:val="bg-BG"/>
        </w:rPr>
        <w:t xml:space="preserve">. Подзаконовите нормативни актове, каквито са наредбите, могат също да бъдат оспорвани пред Върховния административен съд (членове 185, ал. 1 и 191, ал. 1). </w:t>
      </w:r>
      <w:r w:rsidRPr="00006A07">
        <w:rPr>
          <w:lang w:val="bg-BG" w:eastAsia="bg-BG"/>
        </w:rPr>
        <w:t xml:space="preserve">Всяко физическо лице или организация, чиито права, свободи или законни интереси са засегнати или могат да бъдат засегнати от такъв акт, могат да го оспорят </w:t>
      </w:r>
      <w:r w:rsidRPr="00006A07">
        <w:rPr>
          <w:lang w:val="bg-BG"/>
        </w:rPr>
        <w:t>(член 186, ал. 1). Решението на съда има действие спрямо всички (</w:t>
      </w:r>
      <w:proofErr w:type="spellStart"/>
      <w:r w:rsidRPr="00006A07">
        <w:rPr>
          <w:i/>
          <w:iCs/>
          <w:lang w:val="bg-BG"/>
        </w:rPr>
        <w:t>erga</w:t>
      </w:r>
      <w:proofErr w:type="spellEnd"/>
      <w:r w:rsidRPr="00006A07">
        <w:rPr>
          <w:i/>
          <w:iCs/>
          <w:lang w:val="bg-BG"/>
        </w:rPr>
        <w:t xml:space="preserve"> </w:t>
      </w:r>
      <w:proofErr w:type="spellStart"/>
      <w:r w:rsidRPr="00006A07">
        <w:rPr>
          <w:i/>
          <w:iCs/>
          <w:lang w:val="bg-BG"/>
        </w:rPr>
        <w:t>omnes</w:t>
      </w:r>
      <w:proofErr w:type="spellEnd"/>
      <w:r w:rsidRPr="00006A07">
        <w:rPr>
          <w:i/>
          <w:iCs/>
          <w:lang w:val="bg-BG"/>
        </w:rPr>
        <w:t>)</w:t>
      </w:r>
      <w:r w:rsidRPr="00006A07">
        <w:rPr>
          <w:lang w:val="bg-BG"/>
        </w:rPr>
        <w:t xml:space="preserve"> (член 193, ал. 2). Ако съдът отмени такъв подзаконов административен акт, той се счита за отменен от деня на влизането в сила на съдебното решение (член 195 § 1).</w:t>
      </w:r>
    </w:p>
    <w:p w:rsidR="0095532B" w:rsidRPr="00006A07" w:rsidRDefault="0095532B" w:rsidP="008D7A78">
      <w:pPr>
        <w:pStyle w:val="JuHA"/>
        <w:rPr>
          <w:lang w:val="bg-BG"/>
        </w:rPr>
      </w:pPr>
      <w:r w:rsidRPr="00006A07">
        <w:rPr>
          <w:lang w:val="bg-BG"/>
        </w:rPr>
        <w:t>Г.  Съдебна практика, предоставена от Правителството</w:t>
      </w:r>
    </w:p>
    <w:bookmarkStart w:id="27" w:name="RDL_G_decision_1"/>
    <w:p w:rsidR="0095532B" w:rsidRPr="00006A07" w:rsidRDefault="0095532B" w:rsidP="008D7A78">
      <w:pPr>
        <w:pStyle w:val="NormalWeb"/>
        <w:spacing w:before="0" w:beforeAutospacing="0" w:after="0" w:afterAutospacing="0"/>
        <w:ind w:firstLine="232"/>
        <w:jc w:val="both"/>
      </w:pPr>
      <w:r w:rsidRPr="00006A07">
        <w:fldChar w:fldCharType="begin"/>
      </w:r>
      <w:r w:rsidRPr="00006A07">
        <w:instrText xml:space="preserve"> SEQ level0 \*arabic </w:instrText>
      </w:r>
      <w:r w:rsidRPr="00006A07">
        <w:fldChar w:fldCharType="separate"/>
      </w:r>
      <w:r w:rsidRPr="00006A07">
        <w:rPr>
          <w:noProof/>
        </w:rPr>
        <w:t>37</w:t>
      </w:r>
      <w:r w:rsidRPr="00006A07">
        <w:fldChar w:fldCharType="end"/>
      </w:r>
      <w:bookmarkEnd w:id="27"/>
      <w:r w:rsidRPr="00006A07">
        <w:t>.  В решение от 11 декември 2008 г. (</w:t>
      </w:r>
      <w:proofErr w:type="spellStart"/>
      <w:r w:rsidRPr="00006A07">
        <w:t>реш</w:t>
      </w:r>
      <w:proofErr w:type="spellEnd"/>
      <w:r w:rsidRPr="00006A07">
        <w:t xml:space="preserve">. № 13627 от 11 декември 2008 г. по </w:t>
      </w:r>
      <w:proofErr w:type="spellStart"/>
      <w:r w:rsidRPr="00006A07">
        <w:t>адм</w:t>
      </w:r>
      <w:proofErr w:type="spellEnd"/>
      <w:r w:rsidRPr="00006A07">
        <w:t xml:space="preserve">. д. № 11799/2008 г., ВАС, </w:t>
      </w:r>
      <w:proofErr w:type="spellStart"/>
      <w:r w:rsidRPr="00006A07">
        <w:t>петчл</w:t>
      </w:r>
      <w:proofErr w:type="spellEnd"/>
      <w:r w:rsidRPr="00006A07">
        <w:t>. с.) Върховният административен съд отменя действието на разпоредбите, които изискват доставчиците на телефонни и интернет услуги да предоставят на Министерство на вътрешните работи „пасивен“ технически достъп до комуникационните данни, които те съхраняват. Съдът счита, че тъй като не са предвидени никакви условия или ред за предоставянето на такъв достъп, тези разпоредби са направили възможна прекомерна намеса в правата, ползващи се със защита по член 32 (личен живот) и член 34 (кореспонденция и съобщения) от Конституцията от 1991 г. и по член 8 от Конвенцията, докато такава намеса следва да се осъществява при условията на подходящи мерки за защита срещу злоупотреба. Освен това Съдът посочва, че въпросните разпоредби противоречат на различни разпоредби на Директива 2006/24/EО за запазване на данни, създадени или обработени, във връзка с предоставянето на обществено достъпни електронни съобщителни услуги или на обществени съобщителни мрежи и за изменение на Директива 2002/58/EО</w:t>
      </w:r>
      <w:bookmarkStart w:id="28" w:name="RDL_G_decisions_2_3"/>
      <w:r w:rsidRPr="00006A07">
        <w:t>.</w:t>
      </w:r>
    </w:p>
    <w:p w:rsidR="0095532B" w:rsidRPr="00006A07" w:rsidRDefault="008D0656" w:rsidP="008D7A78">
      <w:pPr>
        <w:pStyle w:val="NormalWeb"/>
        <w:spacing w:before="0" w:beforeAutospacing="0" w:after="0" w:afterAutospacing="0"/>
        <w:ind w:firstLine="232"/>
        <w:jc w:val="both"/>
      </w:pPr>
      <w:r>
        <w:fldChar w:fldCharType="begin"/>
      </w:r>
      <w:r>
        <w:instrText xml:space="preserve"> SEQ level0 \*arabic </w:instrText>
      </w:r>
      <w:r>
        <w:fldChar w:fldCharType="separate"/>
      </w:r>
      <w:r w:rsidR="0095532B" w:rsidRPr="00006A07">
        <w:rPr>
          <w:noProof/>
        </w:rPr>
        <w:t>38</w:t>
      </w:r>
      <w:r>
        <w:rPr>
          <w:noProof/>
        </w:rPr>
        <w:fldChar w:fldCharType="end"/>
      </w:r>
      <w:bookmarkEnd w:id="28"/>
      <w:r w:rsidR="0095532B" w:rsidRPr="00006A07">
        <w:t>.  В решения от 25 март и 21 април 2011 г. (</w:t>
      </w:r>
      <w:proofErr w:type="spellStart"/>
      <w:r w:rsidR="0095532B" w:rsidRPr="00006A07">
        <w:t>реш</w:t>
      </w:r>
      <w:proofErr w:type="spellEnd"/>
      <w:r w:rsidR="0095532B" w:rsidRPr="00006A07">
        <w:t xml:space="preserve">. № 384 от 25 март 2011 г. по </w:t>
      </w:r>
      <w:proofErr w:type="spellStart"/>
      <w:r w:rsidR="0095532B" w:rsidRPr="00006A07">
        <w:t>адм</w:t>
      </w:r>
      <w:proofErr w:type="spellEnd"/>
      <w:r w:rsidR="0095532B" w:rsidRPr="00006A07">
        <w:t xml:space="preserve">. д. № 1739/2009 г., БАС; </w:t>
      </w:r>
      <w:proofErr w:type="spellStart"/>
      <w:r w:rsidR="0095532B" w:rsidRPr="00006A07">
        <w:t>реш</w:t>
      </w:r>
      <w:proofErr w:type="spellEnd"/>
      <w:r w:rsidR="0095532B" w:rsidRPr="00006A07">
        <w:t xml:space="preserve">. № 701 от 21 април 2011 г. </w:t>
      </w:r>
      <w:r w:rsidR="0095532B" w:rsidRPr="00006A07">
        <w:lastRenderedPageBreak/>
        <w:t xml:space="preserve">по </w:t>
      </w:r>
      <w:proofErr w:type="spellStart"/>
      <w:r w:rsidR="0095532B" w:rsidRPr="00006A07">
        <w:t>адм</w:t>
      </w:r>
      <w:proofErr w:type="spellEnd"/>
      <w:r w:rsidR="0095532B" w:rsidRPr="00006A07">
        <w:t>. д. № 660/2011 г., ПАС), Административен съд Бургас и Административен съд Пловдив отменят забраните за пътуване извън страната, наложени за неплатени задължения, установени по съдебен ред. При това свое произнасяне съдилищата приемат, че разпоредбите на българското право, по които са наложени тези забрани, противоречат на член 27 от Директива 2004/38/EО относно правото на граждани на Съюза и на членове на техните семейства да се движат и да пребивават свободно на територията на държавите–членки. Непосредствено преди това, на 22 март 2011 г., Върховният административен съд постановява в обвързващо тълкувателно решение (</w:t>
      </w:r>
      <w:proofErr w:type="spellStart"/>
      <w:r w:rsidR="0095532B" w:rsidRPr="00006A07">
        <w:t>тълк</w:t>
      </w:r>
      <w:proofErr w:type="spellEnd"/>
      <w:r w:rsidR="0095532B" w:rsidRPr="00006A07">
        <w:t>. р. № 2 от 22 март 2011 г. по т. д. № 6/2010 г., ВАС, ОСК), че такива забрани следва да бъдат отменяни, ако са в нарушение на Директивата.</w:t>
      </w:r>
    </w:p>
    <w:bookmarkStart w:id="29" w:name="RDL_G_decision_4"/>
    <w:p w:rsidR="0095532B" w:rsidRPr="00006A07" w:rsidRDefault="0095532B" w:rsidP="008D7A78">
      <w:pPr>
        <w:pStyle w:val="JuPara"/>
        <w:rPr>
          <w:lang w:val="bg-BG"/>
        </w:rPr>
      </w:pPr>
      <w:r w:rsidRPr="00006A07">
        <w:rPr>
          <w:lang w:val="bg-BG"/>
        </w:rPr>
        <w:fldChar w:fldCharType="begin"/>
      </w:r>
      <w:r w:rsidRPr="00006A07">
        <w:rPr>
          <w:lang w:val="bg-BG"/>
        </w:rPr>
        <w:instrText xml:space="preserve"> SEQ level0 \*arabic </w:instrText>
      </w:r>
      <w:r w:rsidRPr="00006A07">
        <w:rPr>
          <w:lang w:val="bg-BG"/>
        </w:rPr>
        <w:fldChar w:fldCharType="separate"/>
      </w:r>
      <w:r w:rsidRPr="00006A07">
        <w:rPr>
          <w:noProof/>
          <w:lang w:val="bg-BG"/>
        </w:rPr>
        <w:t>39</w:t>
      </w:r>
      <w:r w:rsidRPr="00006A07">
        <w:rPr>
          <w:lang w:val="bg-BG"/>
        </w:rPr>
        <w:fldChar w:fldCharType="end"/>
      </w:r>
      <w:bookmarkEnd w:id="29"/>
      <w:r w:rsidRPr="00006A07">
        <w:rPr>
          <w:lang w:val="bg-BG"/>
        </w:rPr>
        <w:t>.  В решение от 17 май 2010 г. (</w:t>
      </w:r>
      <w:proofErr w:type="spellStart"/>
      <w:r w:rsidRPr="00006A07">
        <w:rPr>
          <w:lang w:val="bg-BG"/>
        </w:rPr>
        <w:t>реш</w:t>
      </w:r>
      <w:proofErr w:type="spellEnd"/>
      <w:r w:rsidRPr="00006A07">
        <w:rPr>
          <w:lang w:val="bg-BG"/>
        </w:rPr>
        <w:t xml:space="preserve">. от 17 май 2010 г. по </w:t>
      </w:r>
      <w:proofErr w:type="spellStart"/>
      <w:r w:rsidRPr="00006A07">
        <w:rPr>
          <w:lang w:val="bg-BG"/>
        </w:rPr>
        <w:t>адм</w:t>
      </w:r>
      <w:proofErr w:type="spellEnd"/>
      <w:r w:rsidRPr="00006A07">
        <w:rPr>
          <w:lang w:val="bg-BG"/>
        </w:rPr>
        <w:t>. д. № 206/2010 г., МАС, І с.) Административен съд Монтана отменя заповед за експулсиране на чужденец, който е пристигнал в България в много ранна възраст и е живял в страната със семейството си в продължение на няколко години. Съдът постановява, че мярката, наложена със заповедта, която не е взела предвид семейното положение на чужденеца и степента на интеграцията му в страната, и съответната липса на връзки със страната, в която е трябвало да бъде експулсиран, е несъразмерна. В обосноваването на това заключение съдът се позовава не само на съответните разпоредби на българското законодателство, но и на член 8 от Конвенцията и на член 78, ал. 1 от Договора за функционирането на Европейския съюз и членове 16, 20 и 21 от Директива 2003/109/EО относно статута на дългосрочно пребиваващи граждани от трети страни.</w:t>
      </w:r>
    </w:p>
    <w:bookmarkStart w:id="30" w:name="RDL_G_decisions_5_6"/>
    <w:p w:rsidR="0095532B" w:rsidRPr="00006A07" w:rsidRDefault="0095532B" w:rsidP="008D7A78">
      <w:pPr>
        <w:pStyle w:val="JuPara"/>
        <w:rPr>
          <w:lang w:val="bg-BG"/>
        </w:rPr>
      </w:pPr>
      <w:r w:rsidRPr="00006A07">
        <w:rPr>
          <w:lang w:val="bg-BG"/>
        </w:rPr>
        <w:fldChar w:fldCharType="begin"/>
      </w:r>
      <w:r w:rsidRPr="00006A07">
        <w:rPr>
          <w:lang w:val="bg-BG"/>
        </w:rPr>
        <w:instrText xml:space="preserve"> SEQ level0 \*arabic </w:instrText>
      </w:r>
      <w:r w:rsidRPr="00006A07">
        <w:rPr>
          <w:lang w:val="bg-BG"/>
        </w:rPr>
        <w:fldChar w:fldCharType="separate"/>
      </w:r>
      <w:r w:rsidRPr="00006A07">
        <w:rPr>
          <w:noProof/>
          <w:lang w:val="bg-BG"/>
        </w:rPr>
        <w:t>40</w:t>
      </w:r>
      <w:r w:rsidRPr="00006A07">
        <w:rPr>
          <w:lang w:val="bg-BG"/>
        </w:rPr>
        <w:fldChar w:fldCharType="end"/>
      </w:r>
      <w:bookmarkEnd w:id="30"/>
      <w:r w:rsidRPr="00006A07">
        <w:rPr>
          <w:lang w:val="bg-BG"/>
        </w:rPr>
        <w:t>.  В решения от 28 юни 2010 г. и 9 март 2012 г. (</w:t>
      </w:r>
      <w:proofErr w:type="spellStart"/>
      <w:r w:rsidRPr="00006A07">
        <w:rPr>
          <w:lang w:val="bg-BG"/>
        </w:rPr>
        <w:t>опр</w:t>
      </w:r>
      <w:proofErr w:type="spellEnd"/>
      <w:r w:rsidRPr="00006A07">
        <w:rPr>
          <w:lang w:val="bg-BG"/>
        </w:rPr>
        <w:t xml:space="preserve">. № 14 от 29 юни 2010 г. по ч. к. а н. д. № 162/2010 г., ХАС, ІІ к. с.; </w:t>
      </w:r>
      <w:proofErr w:type="spellStart"/>
      <w:r w:rsidRPr="00006A07">
        <w:rPr>
          <w:lang w:val="bg-BG"/>
        </w:rPr>
        <w:t>опр</w:t>
      </w:r>
      <w:proofErr w:type="spellEnd"/>
      <w:r w:rsidRPr="00006A07">
        <w:rPr>
          <w:lang w:val="bg-BG"/>
        </w:rPr>
        <w:t xml:space="preserve">. № 10 от 9 март 2012 г. по к. н. а. х. д. № 117/2012 г., КАС) Административен съд Хасково и Административен съд Кюстендил отменят решения на съдилища от по-долна инстанция, за да прекратят производства по съдебно обжалване на глоби, наложени от административни органи във връзка с административни нарушения (за които по закон е изключена възможността за съдебно обжалване). Съдилищата се позовават на член 6 § 1 от Конвенцията и решенията на Съда по делата </w:t>
      </w:r>
      <w:proofErr w:type="spellStart"/>
      <w:r w:rsidRPr="00006A07">
        <w:rPr>
          <w:i/>
          <w:iCs/>
          <w:lang w:val="bg-BG"/>
        </w:rPr>
        <w:t>Öztürk</w:t>
      </w:r>
      <w:proofErr w:type="spellEnd"/>
      <w:r w:rsidRPr="00006A07">
        <w:rPr>
          <w:i/>
          <w:iCs/>
          <w:lang w:val="bg-BG"/>
        </w:rPr>
        <w:t xml:space="preserve"> v. </w:t>
      </w:r>
      <w:proofErr w:type="spellStart"/>
      <w:r w:rsidRPr="00006A07">
        <w:rPr>
          <w:i/>
          <w:iCs/>
          <w:lang w:val="bg-BG"/>
        </w:rPr>
        <w:t>Germany</w:t>
      </w:r>
      <w:proofErr w:type="spellEnd"/>
      <w:r w:rsidRPr="00006A07">
        <w:rPr>
          <w:lang w:val="bg-BG"/>
        </w:rPr>
        <w:t xml:space="preserve"> (21 февруари 1984 г., Серия A </w:t>
      </w:r>
      <w:proofErr w:type="spellStart"/>
      <w:r w:rsidRPr="00006A07">
        <w:rPr>
          <w:lang w:val="bg-BG"/>
        </w:rPr>
        <w:t>No</w:t>
      </w:r>
      <w:proofErr w:type="spellEnd"/>
      <w:r w:rsidRPr="00006A07">
        <w:rPr>
          <w:lang w:val="bg-BG"/>
        </w:rPr>
        <w:t xml:space="preserve">. 73) и </w:t>
      </w:r>
      <w:proofErr w:type="spellStart"/>
      <w:r w:rsidRPr="00006A07">
        <w:rPr>
          <w:i/>
          <w:iCs/>
          <w:lang w:val="bg-BG"/>
        </w:rPr>
        <w:t>Lauko</w:t>
      </w:r>
      <w:proofErr w:type="spellEnd"/>
      <w:r w:rsidRPr="00006A07">
        <w:rPr>
          <w:i/>
          <w:iCs/>
          <w:lang w:val="bg-BG"/>
        </w:rPr>
        <w:t xml:space="preserve"> v. </w:t>
      </w:r>
      <w:proofErr w:type="spellStart"/>
      <w:r w:rsidRPr="00006A07">
        <w:rPr>
          <w:i/>
          <w:iCs/>
          <w:lang w:val="bg-BG"/>
        </w:rPr>
        <w:t>Slovakia</w:t>
      </w:r>
      <w:proofErr w:type="spellEnd"/>
      <w:r w:rsidRPr="00006A07">
        <w:rPr>
          <w:lang w:val="bg-BG"/>
        </w:rPr>
        <w:t xml:space="preserve"> (2 септември 1998 г., </w:t>
      </w:r>
      <w:proofErr w:type="spellStart"/>
      <w:r w:rsidRPr="00006A07">
        <w:rPr>
          <w:i/>
          <w:iCs/>
          <w:lang w:val="bg-BG"/>
        </w:rPr>
        <w:t>Reports</w:t>
      </w:r>
      <w:proofErr w:type="spellEnd"/>
      <w:r w:rsidRPr="00006A07">
        <w:rPr>
          <w:i/>
          <w:iCs/>
          <w:lang w:val="bg-BG"/>
        </w:rPr>
        <w:t xml:space="preserve"> of </w:t>
      </w:r>
      <w:proofErr w:type="spellStart"/>
      <w:r w:rsidRPr="00006A07">
        <w:rPr>
          <w:i/>
          <w:iCs/>
          <w:lang w:val="bg-BG"/>
        </w:rPr>
        <w:t>Judgments</w:t>
      </w:r>
      <w:proofErr w:type="spellEnd"/>
      <w:r w:rsidRPr="00006A07">
        <w:rPr>
          <w:i/>
          <w:iCs/>
          <w:lang w:val="bg-BG"/>
        </w:rPr>
        <w:t xml:space="preserve"> </w:t>
      </w:r>
      <w:proofErr w:type="spellStart"/>
      <w:r w:rsidRPr="00006A07">
        <w:rPr>
          <w:i/>
          <w:iCs/>
          <w:lang w:val="bg-BG"/>
        </w:rPr>
        <w:t>and</w:t>
      </w:r>
      <w:proofErr w:type="spellEnd"/>
      <w:r w:rsidRPr="00006A07">
        <w:rPr>
          <w:i/>
          <w:iCs/>
          <w:lang w:val="bg-BG"/>
        </w:rPr>
        <w:t xml:space="preserve"> </w:t>
      </w:r>
      <w:proofErr w:type="spellStart"/>
      <w:r w:rsidRPr="00006A07">
        <w:rPr>
          <w:i/>
          <w:iCs/>
          <w:lang w:val="bg-BG"/>
        </w:rPr>
        <w:t>Decisions</w:t>
      </w:r>
      <w:proofErr w:type="spellEnd"/>
      <w:r w:rsidRPr="00006A07">
        <w:rPr>
          <w:lang w:val="bg-BG"/>
        </w:rPr>
        <w:t xml:space="preserve"> 1998</w:t>
      </w:r>
      <w:r w:rsidRPr="00006A07">
        <w:rPr>
          <w:lang w:val="bg-BG"/>
        </w:rPr>
        <w:noBreakHyphen/>
        <w:t>VI).</w:t>
      </w:r>
    </w:p>
    <w:p w:rsidR="0095532B" w:rsidRPr="00006A07" w:rsidRDefault="0095532B" w:rsidP="008D7A78">
      <w:pPr>
        <w:pStyle w:val="JuHA"/>
        <w:rPr>
          <w:lang w:val="bg-BG"/>
        </w:rPr>
      </w:pPr>
      <w:r w:rsidRPr="00006A07">
        <w:rPr>
          <w:lang w:val="bg-BG"/>
        </w:rPr>
        <w:t>Д.  Правата на пациенти</w:t>
      </w:r>
    </w:p>
    <w:p w:rsidR="0095532B" w:rsidRPr="00006A07" w:rsidRDefault="0095532B" w:rsidP="008D7A78">
      <w:pPr>
        <w:suppressAutoHyphens w:val="0"/>
        <w:jc w:val="both"/>
        <w:rPr>
          <w:lang w:val="bg-BG" w:eastAsia="bg-BG"/>
        </w:rPr>
      </w:pPr>
      <w:r w:rsidRPr="00006A07">
        <w:rPr>
          <w:lang w:val="bg-BG"/>
        </w:rPr>
        <w:fldChar w:fldCharType="begin"/>
      </w:r>
      <w:r w:rsidRPr="00006A07">
        <w:rPr>
          <w:lang w:val="bg-BG"/>
        </w:rPr>
        <w:instrText xml:space="preserve"> SEQ level0 \*arabic </w:instrText>
      </w:r>
      <w:r w:rsidRPr="00006A07">
        <w:rPr>
          <w:lang w:val="bg-BG"/>
        </w:rPr>
        <w:fldChar w:fldCharType="separate"/>
      </w:r>
      <w:r w:rsidRPr="00006A07">
        <w:rPr>
          <w:noProof/>
          <w:lang w:val="bg-BG"/>
        </w:rPr>
        <w:t>41</w:t>
      </w:r>
      <w:r w:rsidRPr="00006A07">
        <w:rPr>
          <w:lang w:val="bg-BG"/>
        </w:rPr>
        <w:fldChar w:fldCharType="end"/>
      </w:r>
      <w:r w:rsidRPr="00006A07">
        <w:rPr>
          <w:lang w:val="bg-BG"/>
        </w:rPr>
        <w:t xml:space="preserve">.  Пациентът – определен като всяко лице, което е потърсило, или на което се оказва медицинска помощ (член 84(1) от Закона за здравето от </w:t>
      </w:r>
      <w:r w:rsidRPr="00006A07">
        <w:rPr>
          <w:lang w:val="bg-BG"/>
        </w:rPr>
        <w:lastRenderedPageBreak/>
        <w:t xml:space="preserve">2004 г.) – има право на, </w:t>
      </w:r>
      <w:r w:rsidRPr="00006A07">
        <w:rPr>
          <w:iCs/>
          <w:lang w:val="bg-BG"/>
        </w:rPr>
        <w:t>наред с другото</w:t>
      </w:r>
      <w:r w:rsidRPr="00006A07">
        <w:rPr>
          <w:lang w:val="bg-BG"/>
        </w:rPr>
        <w:t xml:space="preserve">, a) </w:t>
      </w:r>
      <w:r w:rsidRPr="00006A07">
        <w:rPr>
          <w:lang w:val="bg-BG" w:eastAsia="bg-BG"/>
        </w:rPr>
        <w:t>зачитане на гражданските, политическите, икономическите, социалните, културните и религиозните му права</w:t>
      </w:r>
      <w:r w:rsidRPr="00006A07">
        <w:rPr>
          <w:lang w:val="bg-BG"/>
        </w:rPr>
        <w:t xml:space="preserve">; б) </w:t>
      </w:r>
      <w:r w:rsidRPr="00006A07">
        <w:rPr>
          <w:lang w:val="bg-BG" w:eastAsia="bg-BG"/>
        </w:rPr>
        <w:t>ясна и достъпна информация за здравословното му състояние и методите за евентуалното му лечение, ако има такива</w:t>
      </w:r>
      <w:r w:rsidRPr="00006A07">
        <w:rPr>
          <w:lang w:val="bg-BG"/>
        </w:rPr>
        <w:t xml:space="preserve">; в) </w:t>
      </w:r>
      <w:r w:rsidRPr="00006A07">
        <w:rPr>
          <w:lang w:val="bg-BG" w:eastAsia="bg-BG"/>
        </w:rPr>
        <w:t>сигурност и безопасност на диагностичните и лечебните процедури, провеждани по време на лечението му</w:t>
      </w:r>
      <w:r w:rsidRPr="00006A07">
        <w:rPr>
          <w:lang w:val="bg-BG"/>
        </w:rPr>
        <w:t xml:space="preserve">; и г) </w:t>
      </w:r>
      <w:r w:rsidRPr="00006A07">
        <w:rPr>
          <w:lang w:val="bg-BG" w:eastAsia="bg-BG"/>
        </w:rPr>
        <w:t>достъп до модерни методи на лечение</w:t>
      </w:r>
      <w:r w:rsidRPr="00006A07">
        <w:rPr>
          <w:lang w:val="bg-BG"/>
        </w:rPr>
        <w:t xml:space="preserve"> (член 86(1)(</w:t>
      </w:r>
      <w:proofErr w:type="spellStart"/>
      <w:r w:rsidRPr="00006A07">
        <w:rPr>
          <w:lang w:val="bg-BG"/>
        </w:rPr>
        <w:t>1</w:t>
      </w:r>
      <w:proofErr w:type="spellEnd"/>
      <w:r w:rsidRPr="00006A07">
        <w:rPr>
          <w:lang w:val="bg-BG"/>
        </w:rPr>
        <w:t xml:space="preserve">), (1)(8), (1)(10) и (1)(11) от същия закон). Член 87(1) от Закона урежда общото правило, че медицинските дейности се осъществяват само след изразено информирано съгласие от пациента. За получаване на такова съгласие, лекуващият лекар трябва да уведоми </w:t>
      </w:r>
      <w:r w:rsidRPr="00006A07">
        <w:rPr>
          <w:lang w:val="bg-BG" w:eastAsia="bg-BG"/>
        </w:rPr>
        <w:t>пациента</w:t>
      </w:r>
      <w:r w:rsidRPr="00006A07">
        <w:rPr>
          <w:lang w:val="bg-BG"/>
        </w:rPr>
        <w:t xml:space="preserve"> за: a) </w:t>
      </w:r>
      <w:r w:rsidRPr="00006A07">
        <w:rPr>
          <w:lang w:val="bg-BG" w:eastAsia="bg-BG"/>
        </w:rPr>
        <w:t>диагнозата и характера на заболяването</w:t>
      </w:r>
      <w:r w:rsidRPr="00006A07">
        <w:rPr>
          <w:lang w:val="bg-BG"/>
        </w:rPr>
        <w:t xml:space="preserve">; б) </w:t>
      </w:r>
      <w:r w:rsidRPr="00006A07">
        <w:rPr>
          <w:lang w:val="bg-BG" w:eastAsia="bg-BG"/>
        </w:rPr>
        <w:t>целите и естеството на лечението, разумните алтернативи, очакваните резултати и прогнозата</w:t>
      </w:r>
      <w:r w:rsidRPr="00006A07">
        <w:rPr>
          <w:lang w:val="bg-BG"/>
        </w:rPr>
        <w:t xml:space="preserve">; в) </w:t>
      </w:r>
      <w:r w:rsidRPr="00006A07">
        <w:rPr>
          <w:lang w:val="bg-BG" w:eastAsia="bg-BG"/>
        </w:rPr>
        <w:t>потенциалните рискове, свързани с предлаганите диагностично-лечебни методи, включително страничните ефекти и нежеланите лекарствени реакции, болка и други неудобства</w:t>
      </w:r>
      <w:r w:rsidRPr="00006A07">
        <w:rPr>
          <w:lang w:val="bg-BG"/>
        </w:rPr>
        <w:t xml:space="preserve">; и г) </w:t>
      </w:r>
      <w:r w:rsidRPr="00006A07">
        <w:rPr>
          <w:lang w:val="bg-BG" w:eastAsia="bg-BG"/>
        </w:rPr>
        <w:t>вероятността за благоприятно повлияване, риска за здравето при прилагане на други методи на лечение или при отказ от лечение</w:t>
      </w:r>
      <w:r w:rsidRPr="00006A07">
        <w:rPr>
          <w:lang w:val="bg-BG"/>
        </w:rPr>
        <w:t xml:space="preserve"> (член 88(1)). Цялата тази информация трябва да бъде предоставена в подходящ обем и форма, </w:t>
      </w:r>
      <w:r w:rsidRPr="00006A07">
        <w:rPr>
          <w:lang w:val="bg-BG" w:eastAsia="bg-BG"/>
        </w:rPr>
        <w:t>даващи възможност за свобода на избора на лечение</w:t>
      </w:r>
      <w:r w:rsidRPr="00006A07">
        <w:rPr>
          <w:lang w:val="bg-BG"/>
        </w:rPr>
        <w:t xml:space="preserve"> (член 88(2)). При хирургични интервенции, обща анестезия, или други диагностични или терапевтични методи, които водят до повишен риск за живота и здравето на пациента, тази информация, както и информираното съгласие на пациента трябва да бъдат в писмена форма (член 89(1)).</w:t>
      </w:r>
    </w:p>
    <w:p w:rsidR="0095532B" w:rsidRPr="00006A07" w:rsidRDefault="0095532B" w:rsidP="008D7A78">
      <w:pPr>
        <w:pStyle w:val="JuHA"/>
        <w:rPr>
          <w:lang w:val="bg-BG"/>
        </w:rPr>
      </w:pPr>
      <w:r w:rsidRPr="00006A07">
        <w:rPr>
          <w:lang w:val="bg-BG"/>
        </w:rPr>
        <w:t>Е.  Уредба на медицинската професия</w:t>
      </w:r>
    </w:p>
    <w:p w:rsidR="0095532B" w:rsidRPr="00006A07" w:rsidRDefault="0095532B" w:rsidP="008D7A78">
      <w:pPr>
        <w:pStyle w:val="JuPara"/>
        <w:rPr>
          <w:lang w:val="bg-BG"/>
        </w:rPr>
      </w:pPr>
      <w:r w:rsidRPr="00006A07">
        <w:rPr>
          <w:lang w:val="bg-BG"/>
        </w:rPr>
        <w:fldChar w:fldCharType="begin"/>
      </w:r>
      <w:r w:rsidRPr="00006A07">
        <w:rPr>
          <w:lang w:val="bg-BG"/>
        </w:rPr>
        <w:instrText xml:space="preserve"> SEQ level0 \*arabic </w:instrText>
      </w:r>
      <w:r w:rsidRPr="00006A07">
        <w:rPr>
          <w:lang w:val="bg-BG"/>
        </w:rPr>
        <w:fldChar w:fldCharType="separate"/>
      </w:r>
      <w:r w:rsidRPr="00006A07">
        <w:rPr>
          <w:noProof/>
          <w:lang w:val="bg-BG"/>
        </w:rPr>
        <w:t>42</w:t>
      </w:r>
      <w:r w:rsidRPr="00006A07">
        <w:rPr>
          <w:lang w:val="bg-BG"/>
        </w:rPr>
        <w:fldChar w:fldCharType="end"/>
      </w:r>
      <w:r w:rsidRPr="00006A07">
        <w:rPr>
          <w:lang w:val="bg-BG"/>
        </w:rPr>
        <w:t xml:space="preserve">.  Законът за лечебните заведения от 1999 г. урежда, </w:t>
      </w:r>
      <w:r w:rsidRPr="00006A07">
        <w:rPr>
          <w:iCs/>
          <w:lang w:val="bg-BG"/>
        </w:rPr>
        <w:t>наред с другото</w:t>
      </w:r>
      <w:r w:rsidRPr="00006A07">
        <w:rPr>
          <w:lang w:val="bg-BG"/>
        </w:rPr>
        <w:t xml:space="preserve">, регистрацията и лицензирането на лечебните заведения. Съгласно член 39(1), лечебните заведения за </w:t>
      </w:r>
      <w:proofErr w:type="spellStart"/>
      <w:r w:rsidRPr="00006A07">
        <w:rPr>
          <w:lang w:val="bg-BG"/>
        </w:rPr>
        <w:t>извънболнична</w:t>
      </w:r>
      <w:proofErr w:type="spellEnd"/>
      <w:r w:rsidRPr="00006A07">
        <w:rPr>
          <w:lang w:val="bg-BG"/>
        </w:rPr>
        <w:t xml:space="preserve"> помощ и </w:t>
      </w:r>
      <w:proofErr w:type="spellStart"/>
      <w:r w:rsidRPr="00006A07">
        <w:rPr>
          <w:lang w:val="bg-BG"/>
        </w:rPr>
        <w:t>хосписите</w:t>
      </w:r>
      <w:proofErr w:type="spellEnd"/>
      <w:r w:rsidRPr="00006A07">
        <w:rPr>
          <w:lang w:val="bg-BG"/>
        </w:rPr>
        <w:t xml:space="preserve"> подлежат на регистрация, която следва да бъде извършена от териториално компетентната здравна инспекция (член 40(1)). Съгласно член 46(1) лечебните заведения за болнична помощ, комплексните онкологични центрове и някои други заведения, които не са </w:t>
      </w:r>
      <w:proofErr w:type="spellStart"/>
      <w:r w:rsidRPr="00006A07">
        <w:rPr>
          <w:lang w:val="bg-BG"/>
        </w:rPr>
        <w:t>относими</w:t>
      </w:r>
      <w:proofErr w:type="spellEnd"/>
      <w:r w:rsidRPr="00006A07">
        <w:rPr>
          <w:lang w:val="bg-BG"/>
        </w:rPr>
        <w:t xml:space="preserve"> към настоящия случай, подлежат на разрешителен режим. Разрешението за осъществяване на дейността им се издава от министъра на здравеопазването (член 46(2)). Лечебните заведения могат да осъществяват дейността си само ако са били регистрирани или са получили разрешение, в зависимост от случая (член 3(</w:t>
      </w:r>
      <w:proofErr w:type="spellStart"/>
      <w:r w:rsidRPr="00006A07">
        <w:rPr>
          <w:lang w:val="bg-BG"/>
        </w:rPr>
        <w:t>3</w:t>
      </w:r>
      <w:proofErr w:type="spellEnd"/>
      <w:r w:rsidRPr="00006A07">
        <w:rPr>
          <w:lang w:val="bg-BG"/>
        </w:rPr>
        <w:t>)). Тяхната медицинска дейност подлежи на контрол от властите (член 4(3)).</w:t>
      </w:r>
    </w:p>
    <w:p w:rsidR="0095532B" w:rsidRPr="00006A07" w:rsidRDefault="0095532B" w:rsidP="008D7A78">
      <w:pPr>
        <w:pStyle w:val="JuPara"/>
        <w:rPr>
          <w:lang w:val="bg-BG"/>
        </w:rPr>
      </w:pPr>
      <w:r w:rsidRPr="00006A07">
        <w:rPr>
          <w:lang w:val="bg-BG"/>
        </w:rPr>
        <w:fldChar w:fldCharType="begin"/>
      </w:r>
      <w:r w:rsidRPr="00006A07">
        <w:rPr>
          <w:lang w:val="bg-BG"/>
        </w:rPr>
        <w:instrText xml:space="preserve"> SEQ level0 \*arabic </w:instrText>
      </w:r>
      <w:r w:rsidRPr="00006A07">
        <w:rPr>
          <w:lang w:val="bg-BG"/>
        </w:rPr>
        <w:fldChar w:fldCharType="separate"/>
      </w:r>
      <w:r w:rsidRPr="00006A07">
        <w:rPr>
          <w:noProof/>
          <w:lang w:val="bg-BG"/>
        </w:rPr>
        <w:t>43</w:t>
      </w:r>
      <w:r w:rsidRPr="00006A07">
        <w:rPr>
          <w:lang w:val="bg-BG"/>
        </w:rPr>
        <w:fldChar w:fldCharType="end"/>
      </w:r>
      <w:r w:rsidRPr="00006A07">
        <w:rPr>
          <w:lang w:val="bg-BG"/>
        </w:rPr>
        <w:t xml:space="preserve">.  Професионалистите, практикуващи медицинската професия, трябва да имат подходяща диплома (член 183(1) и (2) от Закона за </w:t>
      </w:r>
      <w:r w:rsidRPr="00006A07">
        <w:rPr>
          <w:lang w:val="bg-BG"/>
        </w:rPr>
        <w:lastRenderedPageBreak/>
        <w:t>здравето от 2004 г.), и да са вписани като членове на съсловна организация (член 183(3)).</w:t>
      </w:r>
    </w:p>
    <w:p w:rsidR="0095532B" w:rsidRPr="00006A07" w:rsidRDefault="0095532B" w:rsidP="008D7A78">
      <w:pPr>
        <w:pStyle w:val="JuHIRoman"/>
        <w:rPr>
          <w:lang w:val="bg-BG"/>
        </w:rPr>
      </w:pPr>
      <w:r w:rsidRPr="00006A07">
        <w:rPr>
          <w:lang w:val="bg-BG"/>
        </w:rPr>
        <w:t>III.  РЕЛЕВАНТНО ПРАВО НА ЕВРОПЕЙСКИЯ СЪЮЗ</w:t>
      </w:r>
    </w:p>
    <w:bookmarkStart w:id="31" w:name="REUL_Directive_2001_83_EC_Article_6_1"/>
    <w:p w:rsidR="0095532B" w:rsidRPr="00006A07" w:rsidRDefault="0095532B" w:rsidP="008D7A78">
      <w:pPr>
        <w:pStyle w:val="JuPara"/>
        <w:rPr>
          <w:lang w:val="bg-BG"/>
        </w:rPr>
      </w:pPr>
      <w:r w:rsidRPr="00006A07">
        <w:rPr>
          <w:lang w:val="bg-BG"/>
        </w:rPr>
        <w:fldChar w:fldCharType="begin"/>
      </w:r>
      <w:r w:rsidRPr="00006A07">
        <w:rPr>
          <w:lang w:val="bg-BG"/>
        </w:rPr>
        <w:instrText xml:space="preserve"> SEQ level0 \*arabic </w:instrText>
      </w:r>
      <w:r w:rsidRPr="00006A07">
        <w:rPr>
          <w:lang w:val="bg-BG"/>
        </w:rPr>
        <w:fldChar w:fldCharType="separate"/>
      </w:r>
      <w:r w:rsidRPr="00006A07">
        <w:rPr>
          <w:noProof/>
          <w:lang w:val="bg-BG"/>
        </w:rPr>
        <w:t>44</w:t>
      </w:r>
      <w:r w:rsidRPr="00006A07">
        <w:rPr>
          <w:lang w:val="bg-BG"/>
        </w:rPr>
        <w:fldChar w:fldCharType="end"/>
      </w:r>
      <w:bookmarkEnd w:id="31"/>
      <w:r w:rsidRPr="00006A07">
        <w:rPr>
          <w:lang w:val="bg-BG"/>
        </w:rPr>
        <w:t>.  В Европейския съюз лекарствен продукт като правило може да бъде пуснат на пазара само след като употребата му бъде разрешена, или чрез т.нар. централизирана процедура за разрешаване за употреба или по националните процедури (съществуват подробни правила относно това кои продукти трябва или могат да преминат през централизираната процедура). Съответната разпоредба, член 6 § 1 от изменената Директива 2001/83/EО на Европейския парламент и на Съвета от 6 ноември 2001 година за утвърждаване на кодекс на Общността относно лекарствени продукти за хуманна употреба предвижда следното:</w:t>
      </w:r>
    </w:p>
    <w:p w:rsidR="0095532B" w:rsidRPr="00006A07" w:rsidRDefault="0095532B" w:rsidP="008D7A78">
      <w:pPr>
        <w:pStyle w:val="JuQuot"/>
        <w:rPr>
          <w:lang w:val="bg-BG"/>
        </w:rPr>
      </w:pPr>
      <w:r w:rsidRPr="00006A07">
        <w:rPr>
          <w:lang w:val="bg-BG"/>
        </w:rPr>
        <w:t>„Лекарствен продукт не може да се пуска на пазара в държава-членка, освен ако е издадено разрешение за пускане на пазара от компетентните органи на същата държава-членка в съответствие с настоящата директива, или ако е издадено разрешение в съответствие с Регламент (ЕО) № 726/2004 във връзка с Регламент (ЕО) № 1901/2006 на Европейския парламент и на Съвета от 12 декември 2006 г. относно лекарствените продукти за педиатрична употреба и Регламент (ЕО) №1394/2007.“</w:t>
      </w:r>
    </w:p>
    <w:bookmarkStart w:id="32" w:name="REUL_Directive_2001_83_EC_Article_5"/>
    <w:p w:rsidR="0095532B" w:rsidRPr="00006A07" w:rsidRDefault="0095532B" w:rsidP="008D7A78">
      <w:pPr>
        <w:pStyle w:val="JuPara"/>
        <w:rPr>
          <w:lang w:val="bg-BG"/>
        </w:rPr>
      </w:pPr>
      <w:r w:rsidRPr="00006A07">
        <w:rPr>
          <w:lang w:val="bg-BG"/>
        </w:rPr>
        <w:fldChar w:fldCharType="begin"/>
      </w:r>
      <w:r w:rsidRPr="00006A07">
        <w:rPr>
          <w:lang w:val="bg-BG"/>
        </w:rPr>
        <w:instrText xml:space="preserve"> SEQ level0 \*arabic </w:instrText>
      </w:r>
      <w:r w:rsidRPr="00006A07">
        <w:rPr>
          <w:lang w:val="bg-BG"/>
        </w:rPr>
        <w:fldChar w:fldCharType="separate"/>
      </w:r>
      <w:r w:rsidRPr="00006A07">
        <w:rPr>
          <w:noProof/>
          <w:lang w:val="bg-BG"/>
        </w:rPr>
        <w:t>45</w:t>
      </w:r>
      <w:r w:rsidRPr="00006A07">
        <w:rPr>
          <w:lang w:val="bg-BG"/>
        </w:rPr>
        <w:fldChar w:fldCharType="end"/>
      </w:r>
      <w:bookmarkEnd w:id="32"/>
      <w:r w:rsidRPr="00006A07">
        <w:rPr>
          <w:lang w:val="bg-BG"/>
        </w:rPr>
        <w:t>.  Съществуват обаче някои изключения от това правило, като например възможността за получаване на неразрешен за употреба лекарствен продукт чрез „употреба от индивидуален пациент“, „</w:t>
      </w:r>
      <w:proofErr w:type="spellStart"/>
      <w:r w:rsidRPr="00006A07">
        <w:rPr>
          <w:lang w:val="bg-BG"/>
        </w:rPr>
        <w:t>палиативна</w:t>
      </w:r>
      <w:proofErr w:type="spellEnd"/>
      <w:r w:rsidRPr="00006A07">
        <w:rPr>
          <w:lang w:val="bg-BG"/>
        </w:rPr>
        <w:t xml:space="preserve"> употреба“ или „употреба не по предназначение“. Член 5 § 1 от горепосочената Директива, който възприема формулировка, въведена за първи път през 1989 г. с отменената понастоящем Директива 89/341/EИО, урежда „употребата от индивидуален пациент“. Той гласи следното:</w:t>
      </w:r>
    </w:p>
    <w:p w:rsidR="0095532B" w:rsidRPr="00006A07" w:rsidRDefault="0095532B" w:rsidP="008D7A78">
      <w:pPr>
        <w:pStyle w:val="JuQuot"/>
        <w:rPr>
          <w:lang w:val="bg-BG"/>
        </w:rPr>
      </w:pPr>
      <w:r w:rsidRPr="00006A07">
        <w:rPr>
          <w:lang w:val="bg-BG"/>
        </w:rPr>
        <w:t>„Дадена държава-членка може, в съответствие с приложимото законодателство и в изпълнение на специални нужди, да изключва от разпоредбите на настоящата директива, лекарствените продукти, доставени по добросъвестна и незаявена поръчка, формулирана в съответствие със спецификациите на упълномощен здравен специалист и за употреба от индивидуален пациент, под директна лична отговорност на здравния специалист.“</w:t>
      </w:r>
    </w:p>
    <w:bookmarkStart w:id="33" w:name="REUL_Commission_v_Poland_C_185_10"/>
    <w:p w:rsidR="0095532B" w:rsidRPr="00006A07" w:rsidRDefault="0095532B" w:rsidP="008D7A78">
      <w:pPr>
        <w:pStyle w:val="JuPara"/>
        <w:rPr>
          <w:lang w:val="bg-BG"/>
        </w:rPr>
      </w:pPr>
      <w:r w:rsidRPr="00006A07">
        <w:rPr>
          <w:lang w:val="bg-BG"/>
        </w:rPr>
        <w:fldChar w:fldCharType="begin"/>
      </w:r>
      <w:r w:rsidRPr="00006A07">
        <w:rPr>
          <w:lang w:val="bg-BG"/>
        </w:rPr>
        <w:instrText xml:space="preserve"> SEQ level0 \*arabic </w:instrText>
      </w:r>
      <w:r w:rsidRPr="00006A07">
        <w:rPr>
          <w:lang w:val="bg-BG"/>
        </w:rPr>
        <w:fldChar w:fldCharType="separate"/>
      </w:r>
      <w:r w:rsidRPr="00006A07">
        <w:rPr>
          <w:noProof/>
          <w:lang w:val="bg-BG"/>
        </w:rPr>
        <w:t>46</w:t>
      </w:r>
      <w:r w:rsidRPr="00006A07">
        <w:rPr>
          <w:lang w:val="bg-BG"/>
        </w:rPr>
        <w:fldChar w:fldCharType="end"/>
      </w:r>
      <w:bookmarkEnd w:id="33"/>
      <w:r w:rsidRPr="00006A07">
        <w:rPr>
          <w:lang w:val="bg-BG"/>
        </w:rPr>
        <w:t xml:space="preserve">.  На 29 март 2012 г. Съдът на Европейския съюз, по делото </w:t>
      </w:r>
      <w:proofErr w:type="spellStart"/>
      <w:r w:rsidRPr="00006A07">
        <w:rPr>
          <w:i/>
          <w:iCs/>
          <w:lang w:val="bg-BG"/>
        </w:rPr>
        <w:t>European</w:t>
      </w:r>
      <w:proofErr w:type="spellEnd"/>
      <w:r w:rsidRPr="00006A07">
        <w:rPr>
          <w:i/>
          <w:iCs/>
          <w:lang w:val="bg-BG"/>
        </w:rPr>
        <w:t xml:space="preserve"> </w:t>
      </w:r>
      <w:proofErr w:type="spellStart"/>
      <w:r w:rsidRPr="00006A07">
        <w:rPr>
          <w:i/>
          <w:iCs/>
          <w:lang w:val="bg-BG"/>
        </w:rPr>
        <w:t>Commission</w:t>
      </w:r>
      <w:proofErr w:type="spellEnd"/>
      <w:r w:rsidRPr="00006A07">
        <w:rPr>
          <w:i/>
          <w:iCs/>
          <w:lang w:val="bg-BG"/>
        </w:rPr>
        <w:t xml:space="preserve"> v. </w:t>
      </w:r>
      <w:proofErr w:type="spellStart"/>
      <w:r w:rsidRPr="00006A07">
        <w:rPr>
          <w:i/>
          <w:iCs/>
          <w:lang w:val="bg-BG"/>
        </w:rPr>
        <w:t>the</w:t>
      </w:r>
      <w:proofErr w:type="spellEnd"/>
      <w:r w:rsidRPr="00006A07">
        <w:rPr>
          <w:i/>
          <w:iCs/>
          <w:lang w:val="bg-BG"/>
        </w:rPr>
        <w:t xml:space="preserve"> Republic of </w:t>
      </w:r>
      <w:proofErr w:type="spellStart"/>
      <w:r w:rsidRPr="00006A07">
        <w:rPr>
          <w:i/>
          <w:iCs/>
          <w:lang w:val="bg-BG"/>
        </w:rPr>
        <w:t>Poland</w:t>
      </w:r>
      <w:proofErr w:type="spellEnd"/>
      <w:r w:rsidRPr="00006A07">
        <w:rPr>
          <w:lang w:val="bg-BG"/>
        </w:rPr>
        <w:t xml:space="preserve"> (C</w:t>
      </w:r>
      <w:r w:rsidRPr="00006A07">
        <w:rPr>
          <w:lang w:val="bg-BG"/>
        </w:rPr>
        <w:noBreakHyphen/>
        <w:t xml:space="preserve">185/10) постановява, че Полша, която е твърдяла, че националното й право съответства на </w:t>
      </w:r>
      <w:proofErr w:type="spellStart"/>
      <w:r w:rsidRPr="00006A07">
        <w:rPr>
          <w:lang w:val="bg-BG"/>
        </w:rPr>
        <w:t>дерогацията</w:t>
      </w:r>
      <w:proofErr w:type="spellEnd"/>
      <w:r w:rsidRPr="00006A07">
        <w:rPr>
          <w:lang w:val="bg-BG"/>
        </w:rPr>
        <w:t xml:space="preserve">, предвидена в тази разпоредба, не е изпълнила задълженията си по горепосочения член 6 от Директивата, като е позволила вноса и пускането на пазара с неразрешени за употреба лекарствени продукти, които са били по-евтини и подобни на </w:t>
      </w:r>
      <w:r w:rsidRPr="00006A07">
        <w:rPr>
          <w:lang w:val="bg-BG"/>
        </w:rPr>
        <w:lastRenderedPageBreak/>
        <w:t xml:space="preserve">продукти, чиято употреба вече е била разрешена в Полша. Съдът посочва следното във връзка с тълкуванието, което следва да се прилага съгласно </w:t>
      </w:r>
      <w:proofErr w:type="spellStart"/>
      <w:r w:rsidRPr="00006A07">
        <w:rPr>
          <w:lang w:val="bg-BG"/>
        </w:rPr>
        <w:t>дерогацията</w:t>
      </w:r>
      <w:proofErr w:type="spellEnd"/>
      <w:r w:rsidRPr="00006A07">
        <w:rPr>
          <w:lang w:val="bg-BG"/>
        </w:rPr>
        <w:t>, предвидена в член 5 § 1 от Директивата:</w:t>
      </w:r>
    </w:p>
    <w:p w:rsidR="0095532B" w:rsidRPr="00006A07" w:rsidRDefault="0095532B" w:rsidP="008D7A78">
      <w:pPr>
        <w:pStyle w:val="JuQuot"/>
        <w:rPr>
          <w:lang w:val="bg-BG"/>
        </w:rPr>
      </w:pPr>
      <w:r w:rsidRPr="00006A07">
        <w:rPr>
          <w:lang w:val="bg-BG"/>
        </w:rPr>
        <w:t xml:space="preserve">„30  Както е видно от текста на тази разпоредба, прилагането на предвидената в нея </w:t>
      </w:r>
      <w:proofErr w:type="spellStart"/>
      <w:r w:rsidRPr="00006A07">
        <w:rPr>
          <w:lang w:val="bg-BG"/>
        </w:rPr>
        <w:t>дерогация</w:t>
      </w:r>
      <w:proofErr w:type="spellEnd"/>
      <w:r w:rsidRPr="00006A07">
        <w:rPr>
          <w:lang w:val="bg-BG"/>
        </w:rPr>
        <w:t>, е подчинено на спазването на съвкупност от кумулативни условия.</w:t>
      </w:r>
    </w:p>
    <w:p w:rsidR="0095532B" w:rsidRPr="00006A07" w:rsidRDefault="0095532B" w:rsidP="008D7A78">
      <w:pPr>
        <w:pStyle w:val="JuQuot"/>
        <w:rPr>
          <w:lang w:val="bg-BG"/>
        </w:rPr>
      </w:pPr>
      <w:r w:rsidRPr="00006A07">
        <w:rPr>
          <w:lang w:val="bg-BG"/>
        </w:rPr>
        <w:t xml:space="preserve">31  За да се даде тълкуване на тази разпоредба, следва да се вземе предвид, че според постоянната съдебна практика поначало разпоредбите, предвиждащи изключение от принцип, трябва да се тълкуват стриктно (вж. по-специално в този смисъл Решение от 18 март 2010 г. по дело </w:t>
      </w:r>
      <w:proofErr w:type="spellStart"/>
      <w:r w:rsidRPr="00006A07">
        <w:rPr>
          <w:lang w:val="bg-BG"/>
        </w:rPr>
        <w:t>Erotic</w:t>
      </w:r>
      <w:proofErr w:type="spellEnd"/>
      <w:r w:rsidRPr="00006A07">
        <w:rPr>
          <w:lang w:val="bg-BG"/>
        </w:rPr>
        <w:t xml:space="preserve"> </w:t>
      </w:r>
      <w:proofErr w:type="spellStart"/>
      <w:r w:rsidRPr="00006A07">
        <w:rPr>
          <w:lang w:val="bg-BG"/>
        </w:rPr>
        <w:t>Center</w:t>
      </w:r>
      <w:proofErr w:type="spellEnd"/>
      <w:r w:rsidRPr="00006A07">
        <w:rPr>
          <w:lang w:val="bg-BG"/>
        </w:rPr>
        <w:t>, C</w:t>
      </w:r>
      <w:r w:rsidRPr="00006A07">
        <w:rPr>
          <w:lang w:val="bg-BG"/>
        </w:rPr>
        <w:noBreakHyphen/>
        <w:t>3/09, Сборник, стр. I</w:t>
      </w:r>
      <w:r w:rsidRPr="00006A07">
        <w:rPr>
          <w:lang w:val="bg-BG"/>
        </w:rPr>
        <w:noBreakHyphen/>
        <w:t>2361, точка 15 и цитираната съдебна практика).</w:t>
      </w:r>
    </w:p>
    <w:p w:rsidR="0095532B" w:rsidRPr="00006A07" w:rsidRDefault="0095532B" w:rsidP="008D7A78">
      <w:pPr>
        <w:pStyle w:val="JuQuot"/>
        <w:rPr>
          <w:lang w:val="bg-BG"/>
        </w:rPr>
      </w:pPr>
      <w:r w:rsidRPr="00006A07">
        <w:rPr>
          <w:lang w:val="bg-BG"/>
        </w:rPr>
        <w:t xml:space="preserve">32  По-конкретно, що се отнася до предвидената в член 5, параграф 1 от Директива 2001/83 </w:t>
      </w:r>
      <w:proofErr w:type="spellStart"/>
      <w:r w:rsidRPr="00006A07">
        <w:rPr>
          <w:lang w:val="bg-BG"/>
        </w:rPr>
        <w:t>дерогация</w:t>
      </w:r>
      <w:proofErr w:type="spellEnd"/>
      <w:r w:rsidRPr="00006A07">
        <w:rPr>
          <w:lang w:val="bg-BG"/>
        </w:rPr>
        <w:t xml:space="preserve">, Съдът вече е подчертал, че възможността за внос на лекарствени продукти, които не са одобрени, предвидена от национално законодателство, което въвежда предвидената в тази разпоредба възможност, трябва да остане изключение, за да се запази полезният ефект на процедурата по издаване на РПП (вж. в този смисъл Решение от 8 ноември 2007 г. по дело </w:t>
      </w:r>
      <w:proofErr w:type="spellStart"/>
      <w:r w:rsidRPr="00006A07">
        <w:rPr>
          <w:lang w:val="bg-BG"/>
        </w:rPr>
        <w:t>Ludwigs-Apotheke</w:t>
      </w:r>
      <w:proofErr w:type="spellEnd"/>
      <w:r w:rsidRPr="00006A07">
        <w:rPr>
          <w:lang w:val="bg-BG"/>
        </w:rPr>
        <w:t>, C</w:t>
      </w:r>
      <w:r w:rsidRPr="00006A07">
        <w:rPr>
          <w:lang w:val="bg-BG"/>
        </w:rPr>
        <w:noBreakHyphen/>
        <w:t>143/06, Сборник, стр. I</w:t>
      </w:r>
      <w:r w:rsidRPr="00006A07">
        <w:rPr>
          <w:lang w:val="bg-BG"/>
        </w:rPr>
        <w:noBreakHyphen/>
        <w:t>9623, точки 33 и 35).</w:t>
      </w:r>
    </w:p>
    <w:p w:rsidR="0095532B" w:rsidRPr="00006A07" w:rsidRDefault="0095532B" w:rsidP="008D7A78">
      <w:pPr>
        <w:pStyle w:val="JuQuot"/>
        <w:rPr>
          <w:lang w:val="bg-BG"/>
        </w:rPr>
      </w:pPr>
      <w:r w:rsidRPr="00006A07">
        <w:rPr>
          <w:lang w:val="bg-BG"/>
        </w:rPr>
        <w:t xml:space="preserve">33  Следователно, както посочва генералният адвокат в точка 34 от заключението си, произтичащата от член 5, параграф 1 от Директива 2001/83 възможност да се изключи прилагането на разпоредбите на същата, може да се упражни само ако това е необходимо с оглед на специалните нужди на пациентите. Различно тълкуване би противоречало на целта за опазване на общественото здраве, която се постига чрез хармонизирането на правилата относно лекарствените продукти и особено на тези, които уреждат РПП. </w:t>
      </w:r>
    </w:p>
    <w:p w:rsidR="0095532B" w:rsidRPr="00006A07" w:rsidRDefault="0095532B" w:rsidP="008D7A78">
      <w:pPr>
        <w:pStyle w:val="JuQuot"/>
        <w:rPr>
          <w:lang w:val="bg-BG"/>
        </w:rPr>
      </w:pPr>
      <w:r w:rsidRPr="00006A07">
        <w:rPr>
          <w:lang w:val="bg-BG"/>
        </w:rPr>
        <w:t>34  Понятието за „специални потребности“, визирано в член 5, параграф 1 от тази директива, се отнася само до индивидуални ситуации, оправдани от медицински съображения, и предварително условие за това е лекарственият продукт да е необходим в отговор на потребностите на пациентите.</w:t>
      </w:r>
    </w:p>
    <w:p w:rsidR="0095532B" w:rsidRPr="00006A07" w:rsidRDefault="0095532B" w:rsidP="008D7A78">
      <w:pPr>
        <w:pStyle w:val="JuQuot"/>
        <w:rPr>
          <w:lang w:val="bg-BG"/>
        </w:rPr>
      </w:pPr>
      <w:r w:rsidRPr="00006A07">
        <w:rPr>
          <w:lang w:val="bg-BG"/>
        </w:rPr>
        <w:t xml:space="preserve">35  По същия начин изискването лекарствените продукти да са доставени по „добросъвестна и незаявена поръчка“, означава, че лекарственият продукт трябва да е бил предписан от лекаря в резултат на ефективен преглед на неговите пациенти и въз основа на чисто терапевтични съображения. </w:t>
      </w:r>
    </w:p>
    <w:p w:rsidR="0095532B" w:rsidRPr="00006A07" w:rsidRDefault="0095532B" w:rsidP="008D7A78">
      <w:pPr>
        <w:pStyle w:val="JuQuot"/>
        <w:rPr>
          <w:lang w:val="bg-BG"/>
        </w:rPr>
      </w:pPr>
      <w:r w:rsidRPr="00006A07">
        <w:rPr>
          <w:lang w:val="bg-BG"/>
        </w:rPr>
        <w:t xml:space="preserve">36   От всички посочени в член 5, параграф 1 от Директива 2001/83 условия, четени в светлината на основните цели на същата директива, и в частност тази, свързана с опазване на общественото здраве, следва, че предвидената в тази разпоредба </w:t>
      </w:r>
      <w:proofErr w:type="spellStart"/>
      <w:r w:rsidRPr="00006A07">
        <w:rPr>
          <w:lang w:val="bg-BG"/>
        </w:rPr>
        <w:t>дерогация</w:t>
      </w:r>
      <w:proofErr w:type="spellEnd"/>
      <w:r w:rsidRPr="00006A07">
        <w:rPr>
          <w:lang w:val="bg-BG"/>
        </w:rPr>
        <w:t xml:space="preserve"> може да засяга само ситуации, в които лекарят преценява, че състоянието на конкретните му пациенти изисква прилагането на лекарствен продукт, който няма разрешен на националния пазар еквивалент или който не е достъпен на този пазар.“</w:t>
      </w:r>
    </w:p>
    <w:p w:rsidR="0095532B" w:rsidRPr="00006A07" w:rsidRDefault="0095532B" w:rsidP="008D7A78">
      <w:pPr>
        <w:pStyle w:val="JuPara"/>
        <w:rPr>
          <w:lang w:val="bg-BG"/>
        </w:rPr>
      </w:pPr>
      <w:r w:rsidRPr="00006A07">
        <w:rPr>
          <w:lang w:val="bg-BG"/>
        </w:rPr>
        <w:fldChar w:fldCharType="begin"/>
      </w:r>
      <w:r w:rsidRPr="00006A07">
        <w:rPr>
          <w:lang w:val="bg-BG"/>
        </w:rPr>
        <w:instrText xml:space="preserve"> SEQ level0 \*arabic </w:instrText>
      </w:r>
      <w:r w:rsidRPr="00006A07">
        <w:rPr>
          <w:lang w:val="bg-BG"/>
        </w:rPr>
        <w:fldChar w:fldCharType="separate"/>
      </w:r>
      <w:r w:rsidRPr="00006A07">
        <w:rPr>
          <w:noProof/>
          <w:lang w:val="bg-BG"/>
        </w:rPr>
        <w:t>47</w:t>
      </w:r>
      <w:r w:rsidRPr="00006A07">
        <w:rPr>
          <w:lang w:val="bg-BG"/>
        </w:rPr>
        <w:fldChar w:fldCharType="end"/>
      </w:r>
      <w:r w:rsidRPr="00006A07">
        <w:rPr>
          <w:lang w:val="bg-BG"/>
        </w:rPr>
        <w:t>.  Отделно, член 126a от Директивата позволява на държава членка да разреши пускането на нейния пазар на лекарствен продукт, чиято употреба е разрешена в друга държава членка, при определени условия. Параграф 1 от този член гласи:</w:t>
      </w:r>
    </w:p>
    <w:p w:rsidR="0095532B" w:rsidRPr="00006A07" w:rsidRDefault="0095532B" w:rsidP="008D7A78">
      <w:pPr>
        <w:pStyle w:val="JuQuot"/>
        <w:rPr>
          <w:lang w:val="bg-BG"/>
        </w:rPr>
      </w:pPr>
      <w:r w:rsidRPr="00006A07">
        <w:rPr>
          <w:lang w:val="bg-BG"/>
        </w:rPr>
        <w:t xml:space="preserve">„При липса на разрешение за търговия или на подадено заявление за лекарствен продукт, разрешен в друга държава- членка, в съответствие с настоящата директива, дадена държава- членка може, по оправдани причини в </w:t>
      </w:r>
      <w:r w:rsidRPr="00006A07">
        <w:rPr>
          <w:lang w:val="bg-BG"/>
        </w:rPr>
        <w:lastRenderedPageBreak/>
        <w:t>интерес на общественото здраве, да разреши пускането на пазара на споменатия лекарствен продукт.“</w:t>
      </w:r>
    </w:p>
    <w:p w:rsidR="0095532B" w:rsidRPr="00006A07" w:rsidRDefault="0095532B" w:rsidP="008D7A78">
      <w:pPr>
        <w:pStyle w:val="JuPara"/>
        <w:rPr>
          <w:lang w:val="bg-BG"/>
        </w:rPr>
      </w:pPr>
      <w:r w:rsidRPr="00006A07">
        <w:rPr>
          <w:lang w:val="bg-BG"/>
        </w:rPr>
        <w:t>Допълнителни условия са посочени в параграфи 2 и 3.</w:t>
      </w:r>
    </w:p>
    <w:bookmarkStart w:id="34" w:name="REUL_Regulation_726_2004"/>
    <w:p w:rsidR="0095532B" w:rsidRPr="00006A07" w:rsidRDefault="0095532B" w:rsidP="008D7A78">
      <w:pPr>
        <w:pStyle w:val="JuPara"/>
        <w:rPr>
          <w:lang w:val="bg-BG"/>
        </w:rPr>
      </w:pPr>
      <w:r w:rsidRPr="00006A07">
        <w:rPr>
          <w:lang w:val="bg-BG"/>
        </w:rPr>
        <w:fldChar w:fldCharType="begin"/>
      </w:r>
      <w:r w:rsidRPr="00006A07">
        <w:rPr>
          <w:lang w:val="bg-BG"/>
        </w:rPr>
        <w:instrText xml:space="preserve"> SEQ level0 \*arabic </w:instrText>
      </w:r>
      <w:r w:rsidRPr="00006A07">
        <w:rPr>
          <w:lang w:val="bg-BG"/>
        </w:rPr>
        <w:fldChar w:fldCharType="separate"/>
      </w:r>
      <w:r w:rsidRPr="00006A07">
        <w:rPr>
          <w:noProof/>
          <w:lang w:val="bg-BG"/>
        </w:rPr>
        <w:t>48</w:t>
      </w:r>
      <w:r w:rsidRPr="00006A07">
        <w:rPr>
          <w:lang w:val="bg-BG"/>
        </w:rPr>
        <w:fldChar w:fldCharType="end"/>
      </w:r>
      <w:bookmarkEnd w:id="34"/>
      <w:r w:rsidRPr="00006A07">
        <w:rPr>
          <w:lang w:val="bg-BG"/>
        </w:rPr>
        <w:t xml:space="preserve">.  Допълнително изключение от общата забрана, предвидена в член 6 § 1 от Директива 2001/83/EО, се съдържа в член 83 от Регламент (EО) № 726/2004 </w:t>
      </w:r>
      <w:r w:rsidRPr="00006A07">
        <w:rPr>
          <w:rStyle w:val="FontStyle38"/>
          <w:b w:val="0"/>
          <w:bCs w:val="0"/>
          <w:sz w:val="24"/>
          <w:szCs w:val="24"/>
          <w:lang w:val="bg-BG"/>
        </w:rPr>
        <w:t>на Европейския парламент и на Съвета от 31 март 2004 година за установяване на процедури на Общността за разрешаване и контрол на лекарствени продукти за хуманна и ветеринарна употреба и за създаване на Европейска агенция по лекарствата</w:t>
      </w:r>
      <w:r w:rsidRPr="00006A07">
        <w:rPr>
          <w:lang w:val="bg-BG"/>
        </w:rPr>
        <w:t>.</w:t>
      </w:r>
    </w:p>
    <w:bookmarkStart w:id="35" w:name="REUL_Regulation_726_2004_recital_33"/>
    <w:p w:rsidR="0095532B" w:rsidRPr="00006A07" w:rsidRDefault="0095532B" w:rsidP="008D7A78">
      <w:pPr>
        <w:pStyle w:val="JuPara"/>
        <w:keepNext/>
        <w:rPr>
          <w:lang w:val="bg-BG"/>
        </w:rPr>
      </w:pPr>
      <w:r w:rsidRPr="00006A07">
        <w:rPr>
          <w:lang w:val="bg-BG"/>
        </w:rPr>
        <w:fldChar w:fldCharType="begin"/>
      </w:r>
      <w:r w:rsidRPr="00006A07">
        <w:rPr>
          <w:lang w:val="bg-BG"/>
        </w:rPr>
        <w:instrText xml:space="preserve"> SEQ level0 \*arabic </w:instrText>
      </w:r>
      <w:r w:rsidRPr="00006A07">
        <w:rPr>
          <w:lang w:val="bg-BG"/>
        </w:rPr>
        <w:fldChar w:fldCharType="separate"/>
      </w:r>
      <w:r w:rsidRPr="00006A07">
        <w:rPr>
          <w:noProof/>
          <w:lang w:val="bg-BG"/>
        </w:rPr>
        <w:t>49</w:t>
      </w:r>
      <w:r w:rsidRPr="00006A07">
        <w:rPr>
          <w:lang w:val="bg-BG"/>
        </w:rPr>
        <w:fldChar w:fldCharType="end"/>
      </w:r>
      <w:bookmarkEnd w:id="35"/>
      <w:r w:rsidRPr="00006A07">
        <w:rPr>
          <w:lang w:val="bg-BG"/>
        </w:rPr>
        <w:t>.  Съображение 33 от Регламента посочва, доколкото има отношение по въпроса:</w:t>
      </w:r>
    </w:p>
    <w:p w:rsidR="0095532B" w:rsidRPr="00006A07" w:rsidRDefault="0095532B" w:rsidP="008D7A78">
      <w:pPr>
        <w:pStyle w:val="JuQuot"/>
        <w:keepLines/>
        <w:rPr>
          <w:lang w:val="bg-BG"/>
        </w:rPr>
      </w:pPr>
      <w:r w:rsidRPr="00006A07">
        <w:rPr>
          <w:rStyle w:val="FontStyle42"/>
          <w:sz w:val="20"/>
          <w:szCs w:val="20"/>
          <w:lang w:val="bg-BG"/>
        </w:rPr>
        <w:t xml:space="preserve">„За целите по-специално на удовлетворяването на легитимните очаквания на пациентите и вземането под внимание на все по-динамичното развитие на науката и терапиите ... </w:t>
      </w:r>
      <w:r w:rsidRPr="00006A07">
        <w:rPr>
          <w:lang w:val="bg-BG"/>
        </w:rPr>
        <w:t xml:space="preserve">[в] </w:t>
      </w:r>
      <w:r w:rsidRPr="00006A07">
        <w:rPr>
          <w:rStyle w:val="FontStyle42"/>
          <w:sz w:val="20"/>
          <w:szCs w:val="20"/>
          <w:lang w:val="bg-BG"/>
        </w:rPr>
        <w:t xml:space="preserve">сферата на лекарствените продукти за хуманна употреба следва да се възприема, когато това е възможно, и общ подход по отношение на критериите и условията за </w:t>
      </w:r>
      <w:proofErr w:type="spellStart"/>
      <w:r w:rsidRPr="00006A07">
        <w:rPr>
          <w:rStyle w:val="FontStyle42"/>
          <w:sz w:val="20"/>
          <w:szCs w:val="20"/>
          <w:lang w:val="bg-BG"/>
        </w:rPr>
        <w:t>палиативна</w:t>
      </w:r>
      <w:proofErr w:type="spellEnd"/>
      <w:r w:rsidRPr="00006A07">
        <w:rPr>
          <w:rStyle w:val="FontStyle42"/>
          <w:sz w:val="20"/>
          <w:szCs w:val="20"/>
          <w:lang w:val="bg-BG"/>
        </w:rPr>
        <w:t xml:space="preserve"> употреба на нови лекарствени продукти по силата на законодателствата на държавите-членки.</w:t>
      </w:r>
      <w:r w:rsidRPr="00006A07">
        <w:rPr>
          <w:lang w:val="bg-BG"/>
        </w:rPr>
        <w:t>“</w:t>
      </w:r>
    </w:p>
    <w:bookmarkStart w:id="36" w:name="REUL_Regulation_726_2004_Article_83"/>
    <w:p w:rsidR="0095532B" w:rsidRPr="00006A07" w:rsidRDefault="0095532B" w:rsidP="008D7A78">
      <w:pPr>
        <w:pStyle w:val="JuPara"/>
        <w:keepNext/>
        <w:rPr>
          <w:lang w:val="bg-BG"/>
        </w:rPr>
      </w:pPr>
      <w:r w:rsidRPr="00006A07">
        <w:rPr>
          <w:lang w:val="bg-BG"/>
        </w:rPr>
        <w:fldChar w:fldCharType="begin"/>
      </w:r>
      <w:r w:rsidRPr="00006A07">
        <w:rPr>
          <w:lang w:val="bg-BG"/>
        </w:rPr>
        <w:instrText xml:space="preserve"> SEQ level0 \*arabic </w:instrText>
      </w:r>
      <w:r w:rsidRPr="00006A07">
        <w:rPr>
          <w:lang w:val="bg-BG"/>
        </w:rPr>
        <w:fldChar w:fldCharType="separate"/>
      </w:r>
      <w:r w:rsidRPr="00006A07">
        <w:rPr>
          <w:noProof/>
          <w:lang w:val="bg-BG"/>
        </w:rPr>
        <w:t>50</w:t>
      </w:r>
      <w:r w:rsidRPr="00006A07">
        <w:rPr>
          <w:lang w:val="bg-BG"/>
        </w:rPr>
        <w:fldChar w:fldCharType="end"/>
      </w:r>
      <w:bookmarkEnd w:id="36"/>
      <w:r w:rsidRPr="00006A07">
        <w:rPr>
          <w:lang w:val="bg-BG"/>
        </w:rPr>
        <w:t>.  Член 83 от Регламента предвижда:</w:t>
      </w:r>
    </w:p>
    <w:p w:rsidR="0095532B" w:rsidRPr="00006A07" w:rsidRDefault="0095532B" w:rsidP="008D7A78">
      <w:pPr>
        <w:pStyle w:val="JuQuot"/>
        <w:rPr>
          <w:rStyle w:val="FontStyle42"/>
          <w:sz w:val="20"/>
          <w:szCs w:val="20"/>
          <w:lang w:val="bg-BG"/>
        </w:rPr>
      </w:pPr>
      <w:r w:rsidRPr="00006A07">
        <w:rPr>
          <w:lang w:val="bg-BG"/>
        </w:rPr>
        <w:t>„1.  </w:t>
      </w:r>
      <w:r w:rsidRPr="00006A07">
        <w:rPr>
          <w:rStyle w:val="FontStyle42"/>
          <w:sz w:val="20"/>
          <w:szCs w:val="20"/>
          <w:lang w:val="bg-BG"/>
        </w:rPr>
        <w:t xml:space="preserve">По изключение от член 6 от Директива 2001/83/ЕО държавите-членки могат да предоставят лекарствените продукти за хуманна употреба, спадащи към категориите, посочени в член 3, параграфи 1 и 2 от настоящия регламент </w:t>
      </w:r>
      <w:r w:rsidRPr="00006A07">
        <w:rPr>
          <w:lang w:val="bg-BG"/>
        </w:rPr>
        <w:t>[лекарствени продукти, чиято употреба следва да бъде разрешена или задължително или по избор чрез централизираната процедура за разрешаване за употреба на лекарствени продукти, изброени в анекс към Регламента]</w:t>
      </w:r>
      <w:r w:rsidRPr="00006A07">
        <w:rPr>
          <w:rStyle w:val="FontStyle42"/>
          <w:sz w:val="20"/>
          <w:szCs w:val="20"/>
          <w:lang w:val="bg-BG"/>
        </w:rPr>
        <w:t xml:space="preserve">, на разположение за целите на </w:t>
      </w:r>
      <w:proofErr w:type="spellStart"/>
      <w:r w:rsidRPr="00006A07">
        <w:rPr>
          <w:rStyle w:val="FontStyle42"/>
          <w:sz w:val="20"/>
          <w:szCs w:val="20"/>
          <w:lang w:val="bg-BG"/>
        </w:rPr>
        <w:t>палиативната</w:t>
      </w:r>
      <w:proofErr w:type="spellEnd"/>
      <w:r w:rsidRPr="00006A07">
        <w:rPr>
          <w:rStyle w:val="FontStyle42"/>
          <w:sz w:val="20"/>
          <w:szCs w:val="20"/>
          <w:lang w:val="bg-BG"/>
        </w:rPr>
        <w:t xml:space="preserve"> употреба.</w:t>
      </w:r>
    </w:p>
    <w:p w:rsidR="0095532B" w:rsidRPr="00006A07" w:rsidRDefault="0095532B" w:rsidP="008D7A78">
      <w:pPr>
        <w:pStyle w:val="JuQuot"/>
        <w:rPr>
          <w:lang w:val="bg-BG"/>
        </w:rPr>
      </w:pPr>
      <w:r w:rsidRPr="00006A07">
        <w:rPr>
          <w:lang w:val="bg-BG"/>
        </w:rPr>
        <w:t>2.  </w:t>
      </w:r>
      <w:r w:rsidRPr="00006A07">
        <w:rPr>
          <w:rStyle w:val="FontStyle42"/>
          <w:sz w:val="20"/>
          <w:szCs w:val="20"/>
          <w:lang w:val="bg-BG"/>
        </w:rPr>
        <w:t>По смисъла на настоящия член „</w:t>
      </w:r>
      <w:proofErr w:type="spellStart"/>
      <w:r w:rsidRPr="00006A07">
        <w:rPr>
          <w:rStyle w:val="FontStyle42"/>
          <w:sz w:val="20"/>
          <w:szCs w:val="20"/>
          <w:lang w:val="bg-BG"/>
        </w:rPr>
        <w:t>палиативна</w:t>
      </w:r>
      <w:proofErr w:type="spellEnd"/>
      <w:r w:rsidRPr="00006A07">
        <w:rPr>
          <w:rStyle w:val="FontStyle42"/>
          <w:sz w:val="20"/>
          <w:szCs w:val="20"/>
          <w:lang w:val="bg-BG"/>
        </w:rPr>
        <w:t xml:space="preserve"> употреба“ означава предоставяне на лекарствен продукт, спадащ към категориите, посочени в член 3, параграфи 1 и 2, на разположение по хуманни съображения на група пациенти, страдащи от хронично или тежко </w:t>
      </w:r>
      <w:proofErr w:type="spellStart"/>
      <w:r w:rsidRPr="00006A07">
        <w:rPr>
          <w:rStyle w:val="FontStyle42"/>
          <w:sz w:val="20"/>
          <w:szCs w:val="20"/>
          <w:lang w:val="bg-BG"/>
        </w:rPr>
        <w:t>инвалидизиращо</w:t>
      </w:r>
      <w:proofErr w:type="spellEnd"/>
      <w:r w:rsidRPr="00006A07">
        <w:rPr>
          <w:rStyle w:val="FontStyle42"/>
          <w:sz w:val="20"/>
          <w:szCs w:val="20"/>
          <w:lang w:val="bg-BG"/>
        </w:rPr>
        <w:t xml:space="preserve"> заболяване или заболяване, което може да се счита за </w:t>
      </w:r>
      <w:proofErr w:type="spellStart"/>
      <w:r w:rsidRPr="00006A07">
        <w:rPr>
          <w:rStyle w:val="FontStyle42"/>
          <w:sz w:val="20"/>
          <w:szCs w:val="20"/>
          <w:lang w:val="bg-BG"/>
        </w:rPr>
        <w:t>животозастрашаващо</w:t>
      </w:r>
      <w:proofErr w:type="spellEnd"/>
      <w:r w:rsidRPr="00006A07">
        <w:rPr>
          <w:rStyle w:val="FontStyle42"/>
          <w:sz w:val="20"/>
          <w:szCs w:val="20"/>
          <w:lang w:val="bg-BG"/>
        </w:rPr>
        <w:t xml:space="preserve"> и които не могат да бъдат лекувани удовлетворително с помощта на разрешен лекарствен продукт. Въпросният лекарствен продукт трябва да бъде или обект на заявление за разрешение за търговия по смисъла на член 6 от настоящия регламент, или в процес на клинично изпитване.</w:t>
      </w:r>
    </w:p>
    <w:p w:rsidR="0095532B" w:rsidRPr="00006A07" w:rsidRDefault="0095532B" w:rsidP="008D7A78">
      <w:pPr>
        <w:pStyle w:val="JuQuot"/>
        <w:rPr>
          <w:lang w:val="bg-BG"/>
        </w:rPr>
      </w:pPr>
      <w:r w:rsidRPr="00006A07">
        <w:rPr>
          <w:lang w:val="bg-BG"/>
        </w:rPr>
        <w:t>3.  </w:t>
      </w:r>
      <w:r w:rsidRPr="00006A07">
        <w:rPr>
          <w:rStyle w:val="FontStyle42"/>
          <w:sz w:val="20"/>
          <w:szCs w:val="20"/>
          <w:lang w:val="bg-BG"/>
        </w:rPr>
        <w:t xml:space="preserve">Когато дадена държава-членка се ползва от възможността, предвидена в параграф 1, същата </w:t>
      </w:r>
      <w:proofErr w:type="spellStart"/>
      <w:r w:rsidRPr="00006A07">
        <w:rPr>
          <w:rStyle w:val="FontStyle42"/>
          <w:sz w:val="20"/>
          <w:szCs w:val="20"/>
          <w:lang w:val="bg-BG"/>
        </w:rPr>
        <w:t>нотифицира</w:t>
      </w:r>
      <w:proofErr w:type="spellEnd"/>
      <w:r w:rsidRPr="00006A07">
        <w:rPr>
          <w:rStyle w:val="FontStyle42"/>
          <w:sz w:val="20"/>
          <w:szCs w:val="20"/>
          <w:lang w:val="bg-BG"/>
        </w:rPr>
        <w:t xml:space="preserve"> Агенцията за това.</w:t>
      </w:r>
    </w:p>
    <w:p w:rsidR="0095532B" w:rsidRPr="00006A07" w:rsidRDefault="0095532B" w:rsidP="008D7A78">
      <w:pPr>
        <w:pStyle w:val="JuQuot"/>
        <w:rPr>
          <w:lang w:val="bg-BG"/>
        </w:rPr>
      </w:pPr>
      <w:r w:rsidRPr="00006A07">
        <w:rPr>
          <w:lang w:val="bg-BG"/>
        </w:rPr>
        <w:t>4.  </w:t>
      </w:r>
      <w:r w:rsidRPr="00006A07">
        <w:rPr>
          <w:rStyle w:val="FontStyle42"/>
          <w:sz w:val="20"/>
          <w:szCs w:val="20"/>
          <w:lang w:val="bg-BG"/>
        </w:rPr>
        <w:t xml:space="preserve">Когато се предвижда възможност за </w:t>
      </w:r>
      <w:proofErr w:type="spellStart"/>
      <w:r w:rsidRPr="00006A07">
        <w:rPr>
          <w:rStyle w:val="FontStyle42"/>
          <w:sz w:val="20"/>
          <w:szCs w:val="20"/>
          <w:lang w:val="bg-BG"/>
        </w:rPr>
        <w:t>палиативна</w:t>
      </w:r>
      <w:proofErr w:type="spellEnd"/>
      <w:r w:rsidRPr="00006A07">
        <w:rPr>
          <w:rStyle w:val="FontStyle42"/>
          <w:sz w:val="20"/>
          <w:szCs w:val="20"/>
          <w:lang w:val="bg-BG"/>
        </w:rPr>
        <w:t xml:space="preserve"> употреба, Комитетът по лекарствените продукти за хуманна употреба може да приеме, след консултации с производителя или заявителя, становища относно условията за употреба, условията за дистрибуция и целевите пациенти. Становищата подлежат на периодична актуализация.</w:t>
      </w:r>
    </w:p>
    <w:p w:rsidR="0095532B" w:rsidRPr="00006A07" w:rsidRDefault="0095532B" w:rsidP="008D7A78">
      <w:pPr>
        <w:pStyle w:val="JuQuot"/>
        <w:rPr>
          <w:lang w:val="bg-BG"/>
        </w:rPr>
      </w:pPr>
      <w:r w:rsidRPr="00006A07">
        <w:rPr>
          <w:lang w:val="bg-BG"/>
        </w:rPr>
        <w:t>5.  </w:t>
      </w:r>
      <w:r w:rsidRPr="00006A07">
        <w:rPr>
          <w:rStyle w:val="FontStyle42"/>
          <w:sz w:val="20"/>
          <w:szCs w:val="20"/>
          <w:lang w:val="bg-BG"/>
        </w:rPr>
        <w:t>Държавите-членки вземат под внимание всички достъпни становища.</w:t>
      </w:r>
    </w:p>
    <w:p w:rsidR="0095532B" w:rsidRPr="00006A07" w:rsidRDefault="0095532B" w:rsidP="008D7A78">
      <w:pPr>
        <w:pStyle w:val="JuQuot"/>
        <w:rPr>
          <w:lang w:val="bg-BG"/>
        </w:rPr>
      </w:pPr>
      <w:r w:rsidRPr="00006A07">
        <w:rPr>
          <w:lang w:val="bg-BG"/>
        </w:rPr>
        <w:t>6.  </w:t>
      </w:r>
      <w:r w:rsidRPr="00006A07">
        <w:rPr>
          <w:rStyle w:val="FontStyle42"/>
          <w:sz w:val="20"/>
          <w:szCs w:val="20"/>
          <w:lang w:val="bg-BG"/>
        </w:rPr>
        <w:t xml:space="preserve">Агенцията поддържа текущо актуализиран списък на приетите становища в съответствие с параграф 4, който тя публикува на своя уебсайт. Член 24, параграф 1 и член 25 се прилагат </w:t>
      </w:r>
      <w:proofErr w:type="spellStart"/>
      <w:r w:rsidRPr="00006A07">
        <w:rPr>
          <w:rStyle w:val="FontStyle42"/>
          <w:sz w:val="20"/>
          <w:szCs w:val="20"/>
          <w:lang w:val="bg-BG"/>
        </w:rPr>
        <w:t>mutatis</w:t>
      </w:r>
      <w:proofErr w:type="spellEnd"/>
      <w:r w:rsidRPr="00006A07">
        <w:rPr>
          <w:rStyle w:val="FontStyle42"/>
          <w:sz w:val="20"/>
          <w:szCs w:val="20"/>
          <w:lang w:val="bg-BG"/>
        </w:rPr>
        <w:t xml:space="preserve"> </w:t>
      </w:r>
      <w:proofErr w:type="spellStart"/>
      <w:r w:rsidRPr="00006A07">
        <w:rPr>
          <w:rStyle w:val="FontStyle42"/>
          <w:sz w:val="20"/>
          <w:szCs w:val="20"/>
          <w:lang w:val="bg-BG"/>
        </w:rPr>
        <w:t>mutandis</w:t>
      </w:r>
      <w:proofErr w:type="spellEnd"/>
      <w:r w:rsidRPr="00006A07">
        <w:rPr>
          <w:rStyle w:val="FontStyle39"/>
          <w:sz w:val="20"/>
          <w:szCs w:val="20"/>
          <w:lang w:val="bg-BG"/>
        </w:rPr>
        <w:t>.</w:t>
      </w:r>
    </w:p>
    <w:p w:rsidR="0095532B" w:rsidRPr="00006A07" w:rsidRDefault="0095532B" w:rsidP="008D7A78">
      <w:pPr>
        <w:pStyle w:val="JuQuot"/>
        <w:rPr>
          <w:lang w:val="bg-BG"/>
        </w:rPr>
      </w:pPr>
      <w:r w:rsidRPr="00006A07">
        <w:rPr>
          <w:lang w:val="bg-BG"/>
        </w:rPr>
        <w:lastRenderedPageBreak/>
        <w:t>7.  </w:t>
      </w:r>
      <w:r w:rsidRPr="00006A07">
        <w:rPr>
          <w:rStyle w:val="FontStyle42"/>
          <w:sz w:val="20"/>
          <w:szCs w:val="20"/>
          <w:lang w:val="bg-BG"/>
        </w:rPr>
        <w:t>Становищата, посочени в параграф 4, не засягат гражданската или наказателна отговорност на производителя или на заявителя на разрешението за търговия.</w:t>
      </w:r>
    </w:p>
    <w:p w:rsidR="0095532B" w:rsidRPr="00006A07" w:rsidRDefault="0095532B" w:rsidP="008D7A78">
      <w:pPr>
        <w:pStyle w:val="JuQuot"/>
        <w:rPr>
          <w:rStyle w:val="FontStyle42"/>
          <w:sz w:val="20"/>
          <w:szCs w:val="20"/>
          <w:lang w:val="bg-BG"/>
        </w:rPr>
      </w:pPr>
      <w:r w:rsidRPr="00006A07">
        <w:rPr>
          <w:lang w:val="bg-BG"/>
        </w:rPr>
        <w:t>8.  </w:t>
      </w:r>
      <w:r w:rsidRPr="00006A07">
        <w:rPr>
          <w:rStyle w:val="FontStyle42"/>
          <w:sz w:val="20"/>
          <w:szCs w:val="20"/>
          <w:lang w:val="bg-BG"/>
        </w:rPr>
        <w:t xml:space="preserve">Когато бъде приета програма за </w:t>
      </w:r>
      <w:proofErr w:type="spellStart"/>
      <w:r w:rsidRPr="00006A07">
        <w:rPr>
          <w:rStyle w:val="FontStyle42"/>
          <w:sz w:val="20"/>
          <w:szCs w:val="20"/>
          <w:lang w:val="bg-BG"/>
        </w:rPr>
        <w:t>палиативна</w:t>
      </w:r>
      <w:proofErr w:type="spellEnd"/>
      <w:r w:rsidRPr="00006A07">
        <w:rPr>
          <w:rStyle w:val="FontStyle42"/>
          <w:sz w:val="20"/>
          <w:szCs w:val="20"/>
          <w:lang w:val="bg-BG"/>
        </w:rPr>
        <w:t xml:space="preserve"> употреба, заявителят осигурява условия за това, участващите в нея пациенти да имат достъп до новия лекарствен продукт в периода между разрешаването му и неговото пускане на пазара.</w:t>
      </w:r>
    </w:p>
    <w:p w:rsidR="0095532B" w:rsidRPr="00006A07" w:rsidRDefault="0095532B" w:rsidP="008D7A78">
      <w:pPr>
        <w:pStyle w:val="JuQuot"/>
        <w:rPr>
          <w:lang w:val="bg-BG"/>
        </w:rPr>
      </w:pPr>
      <w:r w:rsidRPr="00006A07">
        <w:rPr>
          <w:lang w:val="bg-BG"/>
        </w:rPr>
        <w:t>9.  </w:t>
      </w:r>
      <w:r w:rsidRPr="00006A07">
        <w:rPr>
          <w:rStyle w:val="FontStyle42"/>
          <w:sz w:val="20"/>
          <w:szCs w:val="20"/>
          <w:lang w:val="bg-BG"/>
        </w:rPr>
        <w:t xml:space="preserve">Настоящият член не засяга разпоредбите на Директива 2001/20/ЕО </w:t>
      </w:r>
      <w:r w:rsidRPr="00006A07">
        <w:rPr>
          <w:lang w:val="bg-BG"/>
        </w:rPr>
        <w:t xml:space="preserve">[Директива за клиничните изпитвания] </w:t>
      </w:r>
      <w:r w:rsidRPr="00006A07">
        <w:rPr>
          <w:rStyle w:val="FontStyle42"/>
          <w:sz w:val="20"/>
          <w:szCs w:val="20"/>
          <w:lang w:val="bg-BG"/>
        </w:rPr>
        <w:t>и член 5 от Директива 2001/83/ЕО</w:t>
      </w:r>
      <w:r w:rsidRPr="00006A07">
        <w:rPr>
          <w:lang w:val="bg-BG"/>
        </w:rPr>
        <w:t>.“</w:t>
      </w:r>
    </w:p>
    <w:bookmarkStart w:id="37" w:name="REUL_Regulation_726_2004_Article_83_gln"/>
    <w:p w:rsidR="0095532B" w:rsidRPr="00006A07" w:rsidRDefault="0095532B" w:rsidP="008D7A78">
      <w:pPr>
        <w:pStyle w:val="JuPara"/>
        <w:rPr>
          <w:lang w:val="bg-BG"/>
        </w:rPr>
      </w:pPr>
      <w:r w:rsidRPr="00006A07">
        <w:rPr>
          <w:lang w:val="bg-BG"/>
        </w:rPr>
        <w:fldChar w:fldCharType="begin"/>
      </w:r>
      <w:r w:rsidRPr="00006A07">
        <w:rPr>
          <w:lang w:val="bg-BG"/>
        </w:rPr>
        <w:instrText xml:space="preserve"> SEQ level0 \*arabic </w:instrText>
      </w:r>
      <w:r w:rsidRPr="00006A07">
        <w:rPr>
          <w:lang w:val="bg-BG"/>
        </w:rPr>
        <w:fldChar w:fldCharType="separate"/>
      </w:r>
      <w:r w:rsidRPr="00006A07">
        <w:rPr>
          <w:noProof/>
          <w:lang w:val="bg-BG"/>
        </w:rPr>
        <w:t>51</w:t>
      </w:r>
      <w:r w:rsidRPr="00006A07">
        <w:rPr>
          <w:lang w:val="bg-BG"/>
        </w:rPr>
        <w:fldChar w:fldCharType="end"/>
      </w:r>
      <w:bookmarkEnd w:id="37"/>
      <w:r w:rsidRPr="00006A07">
        <w:rPr>
          <w:lang w:val="bg-BG"/>
        </w:rPr>
        <w:t xml:space="preserve">.  През юли 2007 г. Европейската агенция по лекарствата приема Насоки за </w:t>
      </w:r>
      <w:proofErr w:type="spellStart"/>
      <w:r w:rsidRPr="00006A07">
        <w:rPr>
          <w:lang w:val="bg-BG"/>
        </w:rPr>
        <w:t>палиативна</w:t>
      </w:r>
      <w:proofErr w:type="spellEnd"/>
      <w:r w:rsidRPr="00006A07">
        <w:rPr>
          <w:lang w:val="bg-BG"/>
        </w:rPr>
        <w:t xml:space="preserve"> употреба на лекарствени продукти съгласно посочения член 83 (EMEA/27170/2006). В тези Насоки се указва, че прилагането на програми за </w:t>
      </w:r>
      <w:proofErr w:type="spellStart"/>
      <w:r w:rsidRPr="00006A07">
        <w:rPr>
          <w:lang w:val="bg-BG"/>
        </w:rPr>
        <w:t>палиативна</w:t>
      </w:r>
      <w:proofErr w:type="spellEnd"/>
      <w:r w:rsidRPr="00006A07">
        <w:rPr>
          <w:lang w:val="bg-BG"/>
        </w:rPr>
        <w:t xml:space="preserve"> употреба остава в компетентността на държавите членки, че член 83 е допълващ по отношение на националните законодателства и че съществуването на  </w:t>
      </w:r>
      <w:proofErr w:type="spellStart"/>
      <w:r w:rsidRPr="00006A07">
        <w:rPr>
          <w:lang w:val="bg-BG"/>
        </w:rPr>
        <w:t>общностно</w:t>
      </w:r>
      <w:proofErr w:type="spellEnd"/>
      <w:r w:rsidRPr="00006A07">
        <w:rPr>
          <w:lang w:val="bg-BG"/>
        </w:rPr>
        <w:t xml:space="preserve"> разрешително за употребата на лекарствени продукти не засяга уредбата на никое национално законодателство във връзка с </w:t>
      </w:r>
      <w:proofErr w:type="spellStart"/>
      <w:r w:rsidRPr="00006A07">
        <w:rPr>
          <w:lang w:val="bg-BG"/>
        </w:rPr>
        <w:t>палиативната</w:t>
      </w:r>
      <w:proofErr w:type="spellEnd"/>
      <w:r w:rsidRPr="00006A07">
        <w:rPr>
          <w:lang w:val="bg-BG"/>
        </w:rPr>
        <w:t xml:space="preserve"> употреба. Насоката посочва по-нататък, че целите на член 83 са в три аспекта: a) да се улесни и подобри достъпът на пациенти в Европейския съюз до програми за </w:t>
      </w:r>
      <w:proofErr w:type="spellStart"/>
      <w:r w:rsidRPr="00006A07">
        <w:rPr>
          <w:lang w:val="bg-BG"/>
        </w:rPr>
        <w:t>палиативна</w:t>
      </w:r>
      <w:proofErr w:type="spellEnd"/>
      <w:r w:rsidRPr="00006A07">
        <w:rPr>
          <w:lang w:val="bg-BG"/>
        </w:rPr>
        <w:t xml:space="preserve"> употреба; б) да се насърчи общ подход във връзка с условията за употреба, условията за дистрибуция и целевите пациенти на </w:t>
      </w:r>
      <w:proofErr w:type="spellStart"/>
      <w:r w:rsidRPr="00006A07">
        <w:rPr>
          <w:lang w:val="bg-BG"/>
        </w:rPr>
        <w:t>палиативната</w:t>
      </w:r>
      <w:proofErr w:type="spellEnd"/>
      <w:r w:rsidRPr="00006A07">
        <w:rPr>
          <w:lang w:val="bg-BG"/>
        </w:rPr>
        <w:t xml:space="preserve"> употреба на неразрешени за употреба нови лекарствени продукти; и в) да се увеличи прозрачността между държавите членки по отношение на наличието на възможности за лечение. В Насоките се изяснява също така, че член 83 не е приложим спрямо продукти, които не са допустими съгласно централизираната процедура за разрешаване за употреба, както и за </w:t>
      </w:r>
      <w:proofErr w:type="spellStart"/>
      <w:r w:rsidRPr="00006A07">
        <w:rPr>
          <w:lang w:val="bg-BG"/>
        </w:rPr>
        <w:t>палиативна</w:t>
      </w:r>
      <w:proofErr w:type="spellEnd"/>
      <w:r w:rsidRPr="00006A07">
        <w:rPr>
          <w:lang w:val="bg-BG"/>
        </w:rPr>
        <w:t xml:space="preserve"> употреба за конкретен пациент, както предвижда член 5 от Директива 2001/83/EО (вж. параграф </w:t>
      </w:r>
      <w:r w:rsidRPr="00006A07">
        <w:rPr>
          <w:lang w:val="bg-BG"/>
        </w:rPr>
        <w:fldChar w:fldCharType="begin"/>
      </w:r>
      <w:r w:rsidRPr="00006A07">
        <w:rPr>
          <w:lang w:val="bg-BG"/>
        </w:rPr>
        <w:instrText xml:space="preserve"> REF REUL_Directive_2001_83_EC_Article_5 \h </w:instrText>
      </w:r>
      <w:r w:rsidRPr="00006A07">
        <w:rPr>
          <w:lang w:val="bg-BG"/>
        </w:rPr>
      </w:r>
      <w:r w:rsidRPr="00006A07">
        <w:rPr>
          <w:lang w:val="bg-BG"/>
        </w:rPr>
        <w:fldChar w:fldCharType="separate"/>
      </w:r>
      <w:r w:rsidRPr="00006A07">
        <w:rPr>
          <w:noProof/>
          <w:lang w:val="bg-BG"/>
        </w:rPr>
        <w:t>45</w:t>
      </w:r>
      <w:r w:rsidRPr="00006A07">
        <w:rPr>
          <w:lang w:val="bg-BG"/>
        </w:rPr>
        <w:fldChar w:fldCharType="end"/>
      </w:r>
      <w:r w:rsidRPr="00006A07">
        <w:rPr>
          <w:lang w:val="bg-BG"/>
        </w:rPr>
        <w:t xml:space="preserve"> по-горе).</w:t>
      </w:r>
    </w:p>
    <w:bookmarkStart w:id="38" w:name="REUL_Regulation_726_2004_Article_83_opin"/>
    <w:p w:rsidR="0095532B" w:rsidRPr="00006A07" w:rsidRDefault="0095532B" w:rsidP="008D7A78">
      <w:pPr>
        <w:pStyle w:val="JuPara"/>
        <w:rPr>
          <w:lang w:val="bg-BG"/>
        </w:rPr>
      </w:pPr>
      <w:r w:rsidRPr="00006A07">
        <w:rPr>
          <w:lang w:val="bg-BG"/>
        </w:rPr>
        <w:fldChar w:fldCharType="begin"/>
      </w:r>
      <w:r w:rsidRPr="00006A07">
        <w:rPr>
          <w:lang w:val="bg-BG"/>
        </w:rPr>
        <w:instrText xml:space="preserve"> SEQ level0 \*arabic </w:instrText>
      </w:r>
      <w:r w:rsidRPr="00006A07">
        <w:rPr>
          <w:lang w:val="bg-BG"/>
        </w:rPr>
        <w:fldChar w:fldCharType="separate"/>
      </w:r>
      <w:r w:rsidRPr="00006A07">
        <w:rPr>
          <w:noProof/>
          <w:lang w:val="bg-BG"/>
        </w:rPr>
        <w:t>52</w:t>
      </w:r>
      <w:r w:rsidRPr="00006A07">
        <w:rPr>
          <w:lang w:val="bg-BG"/>
        </w:rPr>
        <w:fldChar w:fldCharType="end"/>
      </w:r>
      <w:bookmarkEnd w:id="38"/>
      <w:r w:rsidRPr="00006A07">
        <w:rPr>
          <w:lang w:val="bg-BG"/>
        </w:rPr>
        <w:t xml:space="preserve">.  Европейската агенция по лекарствата досега е дала две становища по член 83 § 4 от Регламента. Първото, дадено на 20 януари 2010 г. по отношение на Финландия, във връзка с продукта „IV </w:t>
      </w:r>
      <w:proofErr w:type="spellStart"/>
      <w:r w:rsidRPr="00006A07">
        <w:rPr>
          <w:lang w:val="bg-BG"/>
        </w:rPr>
        <w:t>Tamiflu</w:t>
      </w:r>
      <w:proofErr w:type="spellEnd"/>
      <w:r w:rsidRPr="00006A07">
        <w:rPr>
          <w:lang w:val="bg-BG"/>
        </w:rPr>
        <w:t>“. Второто, дадено на 18 февруари 2010 г. по отношение на Швеция, във връзка с продукта „IV </w:t>
      </w:r>
      <w:proofErr w:type="spellStart"/>
      <w:r w:rsidRPr="00006A07">
        <w:rPr>
          <w:lang w:val="bg-BG"/>
        </w:rPr>
        <w:t>Zanamivir</w:t>
      </w:r>
      <w:proofErr w:type="spellEnd"/>
      <w:r w:rsidRPr="00006A07">
        <w:rPr>
          <w:lang w:val="bg-BG"/>
        </w:rPr>
        <w:t>“.</w:t>
      </w:r>
    </w:p>
    <w:bookmarkStart w:id="39" w:name="REUL_Volume_9"/>
    <w:p w:rsidR="0095532B" w:rsidRPr="00006A07" w:rsidRDefault="0095532B" w:rsidP="008D7A78">
      <w:pPr>
        <w:pStyle w:val="JuPara"/>
        <w:rPr>
          <w:lang w:val="bg-BG"/>
        </w:rPr>
      </w:pPr>
      <w:r w:rsidRPr="00006A07">
        <w:rPr>
          <w:lang w:val="bg-BG"/>
        </w:rPr>
        <w:fldChar w:fldCharType="begin"/>
      </w:r>
      <w:r w:rsidRPr="00006A07">
        <w:rPr>
          <w:lang w:val="bg-BG"/>
        </w:rPr>
        <w:instrText xml:space="preserve"> SEQ level0 \*arabic </w:instrText>
      </w:r>
      <w:r w:rsidRPr="00006A07">
        <w:rPr>
          <w:lang w:val="bg-BG"/>
        </w:rPr>
        <w:fldChar w:fldCharType="separate"/>
      </w:r>
      <w:r w:rsidRPr="00006A07">
        <w:rPr>
          <w:noProof/>
          <w:lang w:val="bg-BG"/>
        </w:rPr>
        <w:t>53</w:t>
      </w:r>
      <w:r w:rsidRPr="00006A07">
        <w:rPr>
          <w:lang w:val="bg-BG"/>
        </w:rPr>
        <w:fldChar w:fldCharType="end"/>
      </w:r>
      <w:bookmarkEnd w:id="39"/>
      <w:r w:rsidRPr="00006A07">
        <w:rPr>
          <w:lang w:val="bg-BG"/>
        </w:rPr>
        <w:t xml:space="preserve">.  В Насока, изготвена от Европейската комисия съгласно член 106 от Директива 2001/83/EО и член 24 от Регламент (EИО) № 2309/93, с наименование </w:t>
      </w:r>
      <w:r w:rsidRPr="00006A07">
        <w:rPr>
          <w:i/>
          <w:lang w:val="bg-BG"/>
        </w:rPr>
        <w:t>„</w:t>
      </w:r>
      <w:r w:rsidRPr="00006A07">
        <w:rPr>
          <w:i/>
          <w:iCs/>
          <w:lang w:val="bg-BG"/>
        </w:rPr>
        <w:t>Том 9A – Насоки за фармакологична бдителност за лекарствени продукти за хуманна употреба“</w:t>
      </w:r>
      <w:r w:rsidRPr="00006A07">
        <w:rPr>
          <w:lang w:val="bg-BG"/>
        </w:rPr>
        <w:t>, („</w:t>
      </w:r>
      <w:proofErr w:type="spellStart"/>
      <w:r w:rsidRPr="00006A07">
        <w:rPr>
          <w:i/>
          <w:iCs/>
          <w:lang w:val="bg-BG"/>
        </w:rPr>
        <w:t>Volume</w:t>
      </w:r>
      <w:proofErr w:type="spellEnd"/>
      <w:r w:rsidRPr="00006A07">
        <w:rPr>
          <w:i/>
          <w:iCs/>
          <w:lang w:val="bg-BG"/>
        </w:rPr>
        <w:t xml:space="preserve"> 9A – </w:t>
      </w:r>
      <w:proofErr w:type="spellStart"/>
      <w:r w:rsidRPr="00006A07">
        <w:rPr>
          <w:i/>
          <w:iCs/>
          <w:lang w:val="bg-BG"/>
        </w:rPr>
        <w:t>Guidelines</w:t>
      </w:r>
      <w:proofErr w:type="spellEnd"/>
      <w:r w:rsidRPr="00006A07">
        <w:rPr>
          <w:i/>
          <w:iCs/>
          <w:lang w:val="bg-BG"/>
        </w:rPr>
        <w:t xml:space="preserve"> </w:t>
      </w:r>
      <w:proofErr w:type="spellStart"/>
      <w:r w:rsidRPr="00006A07">
        <w:rPr>
          <w:i/>
          <w:iCs/>
          <w:lang w:val="bg-BG"/>
        </w:rPr>
        <w:t>on</w:t>
      </w:r>
      <w:proofErr w:type="spellEnd"/>
      <w:r w:rsidRPr="00006A07">
        <w:rPr>
          <w:i/>
          <w:iCs/>
          <w:lang w:val="bg-BG"/>
        </w:rPr>
        <w:t xml:space="preserve"> </w:t>
      </w:r>
      <w:proofErr w:type="spellStart"/>
      <w:r w:rsidRPr="00006A07">
        <w:rPr>
          <w:i/>
          <w:iCs/>
          <w:lang w:val="bg-BG"/>
        </w:rPr>
        <w:t>Pharmacovigilance</w:t>
      </w:r>
      <w:proofErr w:type="spellEnd"/>
      <w:r w:rsidRPr="00006A07">
        <w:rPr>
          <w:i/>
          <w:iCs/>
          <w:lang w:val="bg-BG"/>
        </w:rPr>
        <w:t xml:space="preserve"> </w:t>
      </w:r>
      <w:proofErr w:type="spellStart"/>
      <w:r w:rsidRPr="00006A07">
        <w:rPr>
          <w:i/>
          <w:iCs/>
          <w:lang w:val="bg-BG"/>
        </w:rPr>
        <w:t>for</w:t>
      </w:r>
      <w:proofErr w:type="spellEnd"/>
      <w:r w:rsidRPr="00006A07">
        <w:rPr>
          <w:i/>
          <w:iCs/>
          <w:lang w:val="bg-BG"/>
        </w:rPr>
        <w:t xml:space="preserve"> </w:t>
      </w:r>
      <w:proofErr w:type="spellStart"/>
      <w:r w:rsidRPr="00006A07">
        <w:rPr>
          <w:i/>
          <w:iCs/>
          <w:lang w:val="bg-BG"/>
        </w:rPr>
        <w:t>Medicinal</w:t>
      </w:r>
      <w:proofErr w:type="spellEnd"/>
      <w:r w:rsidRPr="00006A07">
        <w:rPr>
          <w:i/>
          <w:iCs/>
          <w:lang w:val="bg-BG"/>
        </w:rPr>
        <w:t xml:space="preserve"> Products </w:t>
      </w:r>
      <w:proofErr w:type="spellStart"/>
      <w:r w:rsidRPr="00006A07">
        <w:rPr>
          <w:i/>
          <w:iCs/>
          <w:lang w:val="bg-BG"/>
        </w:rPr>
        <w:t>for</w:t>
      </w:r>
      <w:proofErr w:type="spellEnd"/>
      <w:r w:rsidRPr="00006A07">
        <w:rPr>
          <w:i/>
          <w:iCs/>
          <w:lang w:val="bg-BG"/>
        </w:rPr>
        <w:t xml:space="preserve"> </w:t>
      </w:r>
      <w:proofErr w:type="spellStart"/>
      <w:r w:rsidRPr="00006A07">
        <w:rPr>
          <w:i/>
          <w:iCs/>
          <w:lang w:val="bg-BG"/>
        </w:rPr>
        <w:t>Human</w:t>
      </w:r>
      <w:proofErr w:type="spellEnd"/>
      <w:r w:rsidRPr="00006A07">
        <w:rPr>
          <w:i/>
          <w:iCs/>
          <w:lang w:val="bg-BG"/>
        </w:rPr>
        <w:t xml:space="preserve"> </w:t>
      </w:r>
      <w:proofErr w:type="spellStart"/>
      <w:r w:rsidRPr="00006A07">
        <w:rPr>
          <w:i/>
          <w:iCs/>
          <w:lang w:val="bg-BG"/>
        </w:rPr>
        <w:t>Use</w:t>
      </w:r>
      <w:proofErr w:type="spellEnd"/>
      <w:r w:rsidRPr="00006A07">
        <w:rPr>
          <w:i/>
          <w:iCs/>
          <w:lang w:val="bg-BG"/>
        </w:rPr>
        <w:t>“</w:t>
      </w:r>
      <w:r w:rsidRPr="00006A07">
        <w:rPr>
          <w:lang w:val="bg-BG"/>
        </w:rPr>
        <w:t>), се посочва следното:</w:t>
      </w:r>
    </w:p>
    <w:p w:rsidR="0095532B" w:rsidRPr="00006A07" w:rsidRDefault="0095532B" w:rsidP="008D7A78">
      <w:pPr>
        <w:pStyle w:val="JuQuot"/>
        <w:rPr>
          <w:b/>
          <w:bCs/>
          <w:lang w:val="bg-BG" w:eastAsia="en-GB"/>
        </w:rPr>
      </w:pPr>
      <w:r w:rsidRPr="00006A07">
        <w:rPr>
          <w:lang w:val="bg-BG" w:eastAsia="en-GB"/>
        </w:rPr>
        <w:t>„</w:t>
      </w:r>
      <w:r w:rsidRPr="00006A07">
        <w:rPr>
          <w:b/>
          <w:bCs/>
          <w:lang w:val="bg-BG" w:eastAsia="en-GB"/>
        </w:rPr>
        <w:t xml:space="preserve">5.7.  Отчитане при </w:t>
      </w:r>
      <w:proofErr w:type="spellStart"/>
      <w:r w:rsidRPr="00006A07">
        <w:rPr>
          <w:b/>
          <w:bCs/>
          <w:lang w:val="bg-BG" w:eastAsia="en-GB"/>
        </w:rPr>
        <w:t>палиативна</w:t>
      </w:r>
      <w:proofErr w:type="spellEnd"/>
      <w:r w:rsidRPr="00006A07">
        <w:rPr>
          <w:b/>
          <w:bCs/>
          <w:lang w:val="bg-BG" w:eastAsia="en-GB"/>
        </w:rPr>
        <w:t xml:space="preserve"> употреба/</w:t>
      </w:r>
      <w:proofErr w:type="spellStart"/>
      <w:r w:rsidRPr="00006A07">
        <w:rPr>
          <w:b/>
          <w:bCs/>
          <w:lang w:val="bg-BG" w:eastAsia="en-GB"/>
        </w:rPr>
        <w:t>употреба</w:t>
      </w:r>
      <w:proofErr w:type="spellEnd"/>
      <w:r w:rsidRPr="00006A07">
        <w:rPr>
          <w:b/>
          <w:bCs/>
          <w:lang w:val="bg-BG" w:eastAsia="en-GB"/>
        </w:rPr>
        <w:t xml:space="preserve"> от конкретни пациенти</w:t>
      </w:r>
    </w:p>
    <w:p w:rsidR="0095532B" w:rsidRPr="00006A07" w:rsidRDefault="0095532B" w:rsidP="008D7A78">
      <w:pPr>
        <w:pStyle w:val="JuQuot"/>
        <w:rPr>
          <w:lang w:val="bg-BG" w:eastAsia="en-GB"/>
        </w:rPr>
      </w:pPr>
      <w:proofErr w:type="spellStart"/>
      <w:r w:rsidRPr="00006A07">
        <w:rPr>
          <w:lang w:val="bg-BG" w:eastAsia="en-GB"/>
        </w:rPr>
        <w:lastRenderedPageBreak/>
        <w:t>Палиативната</w:t>
      </w:r>
      <w:proofErr w:type="spellEnd"/>
      <w:r w:rsidRPr="00006A07">
        <w:rPr>
          <w:lang w:val="bg-BG" w:eastAsia="en-GB"/>
        </w:rPr>
        <w:t xml:space="preserve"> употреба или употребата от конкретни пациенти следва да бъде строго контролирана от дружеството, което отговаря за предоставянето на лекарството и в идеалния случай за нея да бъде следван определен протокол. </w:t>
      </w:r>
    </w:p>
    <w:p w:rsidR="0095532B" w:rsidRPr="00006A07" w:rsidRDefault="0095532B" w:rsidP="008D7A78">
      <w:pPr>
        <w:pStyle w:val="JuQuot"/>
        <w:rPr>
          <w:lang w:val="bg-BG" w:eastAsia="en-GB"/>
        </w:rPr>
      </w:pPr>
      <w:r w:rsidRPr="00006A07">
        <w:rPr>
          <w:lang w:val="bg-BG" w:eastAsia="en-GB"/>
        </w:rPr>
        <w:t xml:space="preserve">Такъв протокол следва да гарантира, че пациентът е регистриран и е подходящо информиран за естеството на лекарството и че както предписващият, така и пациентът разполагат с наличната информация относно свойствата на лекарството с цел да се увеличи максимално вероятността за безопасна употреба. Протоколът следва да насърчава предписващия да докладва за каквито и да било неблагоприятни реакции на дружеството и на компетентния орган, където това се изисква на национално равнище. </w:t>
      </w:r>
    </w:p>
    <w:p w:rsidR="0095532B" w:rsidRPr="00006A07" w:rsidRDefault="0095532B" w:rsidP="008D7A78">
      <w:pPr>
        <w:pStyle w:val="JuQuot"/>
        <w:rPr>
          <w:lang w:val="bg-BG" w:eastAsia="en-GB"/>
        </w:rPr>
      </w:pPr>
      <w:r w:rsidRPr="00006A07">
        <w:rPr>
          <w:lang w:val="bg-BG" w:eastAsia="en-GB"/>
        </w:rPr>
        <w:t xml:space="preserve">Дружествата следва да наблюдават постоянно съотношението полза/риск, свързано с лекарствата, използвани при </w:t>
      </w:r>
      <w:proofErr w:type="spellStart"/>
      <w:r w:rsidRPr="00006A07">
        <w:rPr>
          <w:lang w:val="bg-BG" w:eastAsia="en-GB"/>
        </w:rPr>
        <w:t>палиативна</w:t>
      </w:r>
      <w:proofErr w:type="spellEnd"/>
      <w:r w:rsidRPr="00006A07">
        <w:rPr>
          <w:lang w:val="bg-BG" w:eastAsia="en-GB"/>
        </w:rPr>
        <w:t xml:space="preserve"> употреба или употреба от конкретни пациенти (със или без следване на протокол), и следва да спазват изискванията за отчитане пред подходящите компетентни органи. Като минимум се прилагат изискванията, предвидени в глава I.4, член 1 [Изисквания за бързо представяне на отчети за безопасност по конкретни случаи].</w:t>
      </w:r>
    </w:p>
    <w:p w:rsidR="0095532B" w:rsidRPr="00006A07" w:rsidRDefault="0095532B" w:rsidP="008D7A78">
      <w:pPr>
        <w:pStyle w:val="JuQuot"/>
        <w:rPr>
          <w:lang w:val="bg-BG" w:eastAsia="en-GB"/>
        </w:rPr>
      </w:pPr>
      <w:r w:rsidRPr="00006A07">
        <w:rPr>
          <w:lang w:val="bg-BG" w:eastAsia="en-GB"/>
        </w:rPr>
        <w:t xml:space="preserve">За включване на опита от </w:t>
      </w:r>
      <w:proofErr w:type="spellStart"/>
      <w:r w:rsidRPr="00006A07">
        <w:rPr>
          <w:lang w:val="bg-BG" w:eastAsia="en-GB"/>
        </w:rPr>
        <w:t>палиативната</w:t>
      </w:r>
      <w:proofErr w:type="spellEnd"/>
      <w:r w:rsidRPr="00006A07">
        <w:rPr>
          <w:lang w:val="bg-BG" w:eastAsia="en-GB"/>
        </w:rPr>
        <w:t xml:space="preserve"> употреба или употребата от поименно посочени пациенти в Периодични актуализирани отчети за безопасността, вж. Глава I.6 [Изисквания за Периодични актуализирани отчети за безопасността].“</w:t>
      </w:r>
    </w:p>
    <w:p w:rsidR="0095532B" w:rsidRPr="00006A07" w:rsidRDefault="0095532B" w:rsidP="008D7A78">
      <w:pPr>
        <w:pStyle w:val="JuHIRoman"/>
        <w:rPr>
          <w:lang w:val="bg-BG"/>
        </w:rPr>
      </w:pPr>
      <w:r w:rsidRPr="00006A07">
        <w:rPr>
          <w:lang w:val="bg-BG"/>
        </w:rPr>
        <w:t>III.  РЕЛЕВАНТЕН СРАВНИТЕЛЕН МАТЕРИАЛ</w:t>
      </w:r>
    </w:p>
    <w:p w:rsidR="0095532B" w:rsidRPr="00006A07" w:rsidRDefault="0095532B" w:rsidP="008D7A78">
      <w:pPr>
        <w:pStyle w:val="JuHA"/>
        <w:rPr>
          <w:lang w:val="bg-BG"/>
        </w:rPr>
      </w:pPr>
      <w:r w:rsidRPr="00006A07">
        <w:rPr>
          <w:lang w:val="bg-BG"/>
        </w:rPr>
        <w:t>A.  Правила относно достъпа до неразрешени за употреба лекарствени продукти</w:t>
      </w:r>
    </w:p>
    <w:p w:rsidR="0095532B" w:rsidRPr="00006A07" w:rsidRDefault="0095532B" w:rsidP="008D7A78">
      <w:pPr>
        <w:pStyle w:val="JuH1"/>
        <w:rPr>
          <w:lang w:val="bg-BG"/>
        </w:rPr>
      </w:pPr>
      <w:r w:rsidRPr="00006A07">
        <w:rPr>
          <w:lang w:val="bg-BG"/>
        </w:rPr>
        <w:t>1.  В някои Договарящи държави</w:t>
      </w:r>
    </w:p>
    <w:bookmarkStart w:id="40" w:name="RCM_ECRIN_survey"/>
    <w:p w:rsidR="0095532B" w:rsidRPr="00006A07" w:rsidRDefault="0095532B" w:rsidP="008D7A78">
      <w:pPr>
        <w:pStyle w:val="JuPara"/>
        <w:rPr>
          <w:lang w:val="bg-BG"/>
        </w:rPr>
      </w:pPr>
      <w:r w:rsidRPr="00006A07">
        <w:rPr>
          <w:lang w:val="bg-BG"/>
        </w:rPr>
        <w:fldChar w:fldCharType="begin"/>
      </w:r>
      <w:r w:rsidRPr="00006A07">
        <w:rPr>
          <w:lang w:val="bg-BG"/>
        </w:rPr>
        <w:instrText xml:space="preserve"> SEQ level0 \*arabic </w:instrText>
      </w:r>
      <w:r w:rsidRPr="00006A07">
        <w:rPr>
          <w:lang w:val="bg-BG"/>
        </w:rPr>
        <w:fldChar w:fldCharType="separate"/>
      </w:r>
      <w:r w:rsidRPr="00006A07">
        <w:rPr>
          <w:noProof/>
          <w:lang w:val="bg-BG"/>
        </w:rPr>
        <w:t>54</w:t>
      </w:r>
      <w:r w:rsidRPr="00006A07">
        <w:rPr>
          <w:lang w:val="bg-BG"/>
        </w:rPr>
        <w:fldChar w:fldCharType="end"/>
      </w:r>
      <w:bookmarkEnd w:id="40"/>
      <w:r w:rsidRPr="00006A07">
        <w:rPr>
          <w:lang w:val="bg-BG"/>
        </w:rPr>
        <w:t>.  През ноември 2010 г. Европейската инфраструктурна мрежа за клинични изследвания публикува проучване на програми за „</w:t>
      </w:r>
      <w:proofErr w:type="spellStart"/>
      <w:r w:rsidRPr="00006A07">
        <w:rPr>
          <w:lang w:val="bg-BG"/>
        </w:rPr>
        <w:t>палиативна</w:t>
      </w:r>
      <w:proofErr w:type="spellEnd"/>
      <w:r w:rsidRPr="00006A07">
        <w:rPr>
          <w:lang w:val="bg-BG"/>
        </w:rPr>
        <w:t xml:space="preserve"> употреба“ в десет европейски държави: Австрия, Дания, Франция, Германия, Ирландия, Италия, Испания, Швеция, Швейцария и Обединеното кралство („</w:t>
      </w:r>
      <w:proofErr w:type="spellStart"/>
      <w:r w:rsidRPr="00006A07">
        <w:rPr>
          <w:i/>
          <w:iCs/>
          <w:lang w:val="bg-BG"/>
        </w:rPr>
        <w:t>Whitfield</w:t>
      </w:r>
      <w:proofErr w:type="spellEnd"/>
      <w:r w:rsidRPr="00006A07">
        <w:rPr>
          <w:i/>
          <w:iCs/>
          <w:lang w:val="bg-BG"/>
        </w:rPr>
        <w:t xml:space="preserve"> </w:t>
      </w:r>
      <w:proofErr w:type="spellStart"/>
      <w:r w:rsidRPr="00006A07">
        <w:rPr>
          <w:i/>
          <w:iCs/>
          <w:lang w:val="bg-BG"/>
        </w:rPr>
        <w:t>et</w:t>
      </w:r>
      <w:proofErr w:type="spellEnd"/>
      <w:r w:rsidRPr="00006A07">
        <w:rPr>
          <w:i/>
          <w:iCs/>
          <w:lang w:val="bg-BG"/>
        </w:rPr>
        <w:t xml:space="preserve"> </w:t>
      </w:r>
      <w:proofErr w:type="spellStart"/>
      <w:r w:rsidRPr="00006A07">
        <w:rPr>
          <w:i/>
          <w:iCs/>
          <w:lang w:val="bg-BG"/>
        </w:rPr>
        <w:t>al</w:t>
      </w:r>
      <w:proofErr w:type="spellEnd"/>
      <w:r w:rsidRPr="00006A07">
        <w:rPr>
          <w:i/>
          <w:iCs/>
          <w:lang w:val="bg-BG"/>
        </w:rPr>
        <w:t>.</w:t>
      </w:r>
      <w:r w:rsidRPr="00006A07">
        <w:rPr>
          <w:lang w:val="bg-BG"/>
        </w:rPr>
        <w:t xml:space="preserve">: </w:t>
      </w:r>
      <w:proofErr w:type="spellStart"/>
      <w:r w:rsidRPr="00006A07">
        <w:rPr>
          <w:lang w:val="bg-BG"/>
        </w:rPr>
        <w:t>Палиативна</w:t>
      </w:r>
      <w:proofErr w:type="spellEnd"/>
      <w:r w:rsidRPr="00006A07">
        <w:rPr>
          <w:lang w:val="bg-BG"/>
        </w:rPr>
        <w:t xml:space="preserve"> употреба на интервенции: резултати от проучване на Европейската инфраструктурна мрежа за клинични изследвания (ECRIN) в десет държави.</w:t>
      </w:r>
      <w:r w:rsidRPr="00006A07">
        <w:rPr>
          <w:i/>
          <w:iCs/>
          <w:lang w:val="bg-BG"/>
        </w:rPr>
        <w:t xml:space="preserve"> </w:t>
      </w:r>
      <w:proofErr w:type="spellStart"/>
      <w:r w:rsidRPr="00006A07">
        <w:rPr>
          <w:i/>
          <w:iCs/>
          <w:lang w:val="bg-BG"/>
        </w:rPr>
        <w:t>Trials</w:t>
      </w:r>
      <w:proofErr w:type="spellEnd"/>
      <w:r w:rsidRPr="00006A07">
        <w:rPr>
          <w:lang w:val="bg-BG"/>
        </w:rPr>
        <w:t xml:space="preserve"> 2010 11:104 (</w:t>
      </w:r>
      <w:proofErr w:type="spellStart"/>
      <w:r w:rsidRPr="00006A07">
        <w:rPr>
          <w:lang w:val="bg-BG"/>
        </w:rPr>
        <w:t>Compassionate</w:t>
      </w:r>
      <w:proofErr w:type="spellEnd"/>
      <w:r w:rsidRPr="00006A07">
        <w:rPr>
          <w:lang w:val="bg-BG"/>
        </w:rPr>
        <w:t xml:space="preserve"> </w:t>
      </w:r>
      <w:proofErr w:type="spellStart"/>
      <w:r w:rsidRPr="00006A07">
        <w:rPr>
          <w:lang w:val="bg-BG"/>
        </w:rPr>
        <w:t>use</w:t>
      </w:r>
      <w:proofErr w:type="spellEnd"/>
      <w:r w:rsidRPr="00006A07">
        <w:rPr>
          <w:lang w:val="bg-BG"/>
        </w:rPr>
        <w:t xml:space="preserve"> of </w:t>
      </w:r>
      <w:proofErr w:type="spellStart"/>
      <w:r w:rsidRPr="00006A07">
        <w:rPr>
          <w:lang w:val="bg-BG"/>
        </w:rPr>
        <w:t>interventions</w:t>
      </w:r>
      <w:proofErr w:type="spellEnd"/>
      <w:r w:rsidRPr="00006A07">
        <w:rPr>
          <w:lang w:val="bg-BG"/>
        </w:rPr>
        <w:t xml:space="preserve">: </w:t>
      </w:r>
      <w:proofErr w:type="spellStart"/>
      <w:r w:rsidRPr="00006A07">
        <w:rPr>
          <w:lang w:val="bg-BG"/>
        </w:rPr>
        <w:t>results</w:t>
      </w:r>
      <w:proofErr w:type="spellEnd"/>
      <w:r w:rsidRPr="00006A07">
        <w:rPr>
          <w:lang w:val="bg-BG"/>
        </w:rPr>
        <w:t xml:space="preserve"> of a </w:t>
      </w:r>
      <w:proofErr w:type="spellStart"/>
      <w:r w:rsidRPr="00006A07">
        <w:rPr>
          <w:lang w:val="bg-BG"/>
        </w:rPr>
        <w:t>European</w:t>
      </w:r>
      <w:proofErr w:type="spellEnd"/>
      <w:r w:rsidRPr="00006A07">
        <w:rPr>
          <w:lang w:val="bg-BG"/>
        </w:rPr>
        <w:t xml:space="preserve"> </w:t>
      </w:r>
      <w:proofErr w:type="spellStart"/>
      <w:r w:rsidRPr="00006A07">
        <w:rPr>
          <w:lang w:val="bg-BG"/>
        </w:rPr>
        <w:t>Clinical</w:t>
      </w:r>
      <w:proofErr w:type="spellEnd"/>
      <w:r w:rsidRPr="00006A07">
        <w:rPr>
          <w:lang w:val="bg-BG"/>
        </w:rPr>
        <w:t xml:space="preserve"> </w:t>
      </w:r>
      <w:proofErr w:type="spellStart"/>
      <w:r w:rsidRPr="00006A07">
        <w:rPr>
          <w:lang w:val="bg-BG"/>
        </w:rPr>
        <w:t>Research</w:t>
      </w:r>
      <w:proofErr w:type="spellEnd"/>
      <w:r w:rsidRPr="00006A07">
        <w:rPr>
          <w:lang w:val="bg-BG"/>
        </w:rPr>
        <w:t xml:space="preserve"> </w:t>
      </w:r>
      <w:proofErr w:type="spellStart"/>
      <w:r w:rsidRPr="00006A07">
        <w:rPr>
          <w:lang w:val="bg-BG"/>
        </w:rPr>
        <w:t>Infrastructures</w:t>
      </w:r>
      <w:proofErr w:type="spellEnd"/>
      <w:r w:rsidRPr="00006A07">
        <w:rPr>
          <w:lang w:val="bg-BG"/>
        </w:rPr>
        <w:t xml:space="preserve"> </w:t>
      </w:r>
      <w:proofErr w:type="spellStart"/>
      <w:r w:rsidRPr="00006A07">
        <w:rPr>
          <w:lang w:val="bg-BG"/>
        </w:rPr>
        <w:t>Network</w:t>
      </w:r>
      <w:proofErr w:type="spellEnd"/>
      <w:r w:rsidRPr="00006A07">
        <w:rPr>
          <w:lang w:val="bg-BG"/>
        </w:rPr>
        <w:t xml:space="preserve"> (ECRIN) </w:t>
      </w:r>
      <w:proofErr w:type="spellStart"/>
      <w:r w:rsidRPr="00006A07">
        <w:rPr>
          <w:lang w:val="bg-BG"/>
        </w:rPr>
        <w:t>survey</w:t>
      </w:r>
      <w:proofErr w:type="spellEnd"/>
      <w:r w:rsidRPr="00006A07">
        <w:rPr>
          <w:lang w:val="bg-BG"/>
        </w:rPr>
        <w:t xml:space="preserve"> of </w:t>
      </w:r>
      <w:proofErr w:type="spellStart"/>
      <w:r w:rsidRPr="00006A07">
        <w:rPr>
          <w:lang w:val="bg-BG"/>
        </w:rPr>
        <w:t>ten</w:t>
      </w:r>
      <w:proofErr w:type="spellEnd"/>
      <w:r w:rsidRPr="00006A07">
        <w:rPr>
          <w:lang w:val="bg-BG"/>
        </w:rPr>
        <w:t xml:space="preserve"> </w:t>
      </w:r>
      <w:proofErr w:type="spellStart"/>
      <w:r w:rsidRPr="00006A07">
        <w:rPr>
          <w:lang w:val="bg-BG"/>
        </w:rPr>
        <w:t>European</w:t>
      </w:r>
      <w:proofErr w:type="spellEnd"/>
      <w:r w:rsidRPr="00006A07">
        <w:rPr>
          <w:lang w:val="bg-BG"/>
        </w:rPr>
        <w:t xml:space="preserve"> </w:t>
      </w:r>
      <w:proofErr w:type="spellStart"/>
      <w:r w:rsidRPr="00006A07">
        <w:rPr>
          <w:lang w:val="bg-BG"/>
        </w:rPr>
        <w:t>countries</w:t>
      </w:r>
      <w:proofErr w:type="spellEnd"/>
      <w:r w:rsidRPr="00006A07">
        <w:rPr>
          <w:lang w:val="bg-BG"/>
        </w:rPr>
        <w:t xml:space="preserve">. </w:t>
      </w:r>
      <w:proofErr w:type="spellStart"/>
      <w:r w:rsidRPr="00006A07">
        <w:rPr>
          <w:i/>
          <w:iCs/>
          <w:lang w:val="bg-BG"/>
        </w:rPr>
        <w:t>Trials</w:t>
      </w:r>
      <w:proofErr w:type="spellEnd"/>
      <w:r w:rsidRPr="00006A07">
        <w:rPr>
          <w:lang w:val="bg-BG"/>
        </w:rPr>
        <w:t xml:space="preserve"> 2010 11:104.“). В него се установява, с едно изключение (Унгария), че законите на всички държави, в които е проведено прочуването, съдържат уредба за програми за </w:t>
      </w:r>
      <w:proofErr w:type="spellStart"/>
      <w:r w:rsidRPr="00006A07">
        <w:rPr>
          <w:lang w:val="bg-BG"/>
        </w:rPr>
        <w:t>палиативна</w:t>
      </w:r>
      <w:proofErr w:type="spellEnd"/>
      <w:r w:rsidRPr="00006A07">
        <w:rPr>
          <w:lang w:val="bg-BG"/>
        </w:rPr>
        <w:t xml:space="preserve"> употреба/разширен достъп. Проучването обаче показва също така, че в тези програми са налице повече различия, отколкото прилики. Някои страни нямат официални регулаторни системи, а за тези, които са приели правила, тези правила варират като съдържание и обхват. Например някои страни разрешават „</w:t>
      </w:r>
      <w:proofErr w:type="spellStart"/>
      <w:r w:rsidRPr="00006A07">
        <w:rPr>
          <w:lang w:val="bg-BG"/>
        </w:rPr>
        <w:t>палиативна</w:t>
      </w:r>
      <w:proofErr w:type="spellEnd"/>
      <w:r w:rsidRPr="00006A07">
        <w:rPr>
          <w:lang w:val="bg-BG"/>
        </w:rPr>
        <w:t xml:space="preserve"> употреба“ единствено въз основа на принципа за „конкретен/индивидуален пациент“. Съдържанието и изискванията по отношение на заявлението за </w:t>
      </w:r>
      <w:r w:rsidRPr="00006A07">
        <w:rPr>
          <w:lang w:val="bg-BG"/>
        </w:rPr>
        <w:lastRenderedPageBreak/>
        <w:t xml:space="preserve">разрешение също варират. В проучването се отправя призив </w:t>
      </w:r>
      <w:proofErr w:type="spellStart"/>
      <w:r w:rsidRPr="00006A07">
        <w:rPr>
          <w:lang w:val="bg-BG"/>
        </w:rPr>
        <w:t>аконодателството</w:t>
      </w:r>
      <w:proofErr w:type="spellEnd"/>
      <w:r w:rsidRPr="00006A07">
        <w:rPr>
          <w:lang w:val="bg-BG"/>
        </w:rPr>
        <w:t xml:space="preserve"> на Европейския съюз да бъде по-ясно по отношение на регулаторните изисквания, ограничения и отговорности в тази област.</w:t>
      </w:r>
    </w:p>
    <w:bookmarkStart w:id="41" w:name="RCM_comp_material"/>
    <w:p w:rsidR="0095532B" w:rsidRPr="00006A07" w:rsidRDefault="0095532B" w:rsidP="008D7A78">
      <w:pPr>
        <w:pStyle w:val="JuPara"/>
        <w:rPr>
          <w:lang w:val="bg-BG"/>
        </w:rPr>
      </w:pPr>
      <w:r w:rsidRPr="00006A07">
        <w:rPr>
          <w:lang w:val="bg-BG"/>
        </w:rPr>
        <w:fldChar w:fldCharType="begin"/>
      </w:r>
      <w:r w:rsidRPr="00006A07">
        <w:rPr>
          <w:lang w:val="bg-BG"/>
        </w:rPr>
        <w:instrText xml:space="preserve"> SEQ level0 \*arabic </w:instrText>
      </w:r>
      <w:r w:rsidRPr="00006A07">
        <w:rPr>
          <w:lang w:val="bg-BG"/>
        </w:rPr>
        <w:fldChar w:fldCharType="separate"/>
      </w:r>
      <w:r w:rsidRPr="00006A07">
        <w:rPr>
          <w:noProof/>
          <w:lang w:val="bg-BG"/>
        </w:rPr>
        <w:t>55</w:t>
      </w:r>
      <w:r w:rsidRPr="00006A07">
        <w:rPr>
          <w:lang w:val="bg-BG"/>
        </w:rPr>
        <w:fldChar w:fldCharType="end"/>
      </w:r>
      <w:bookmarkEnd w:id="41"/>
      <w:r w:rsidRPr="00006A07">
        <w:rPr>
          <w:lang w:val="bg-BG"/>
        </w:rPr>
        <w:t xml:space="preserve">.  Въз основа на по-скорошни данни, с който Съдът разполага по отношение на двадесет и деветте договарящи държави, изглежда, че двадесет и две държави (Австрия, Чешката република, Хърватска, Естония, Франция, Финландия, Германия, Гърция, Унгария, Ирландия, Италия, Латвия, Литва, Малта, Нидерландия, Полша, Румъния, Сърбия, Словения, Испания, Турция и Обединеното кралство) разполагат с правила – често приети съвсем наскоро – които предоставят възможност за достъп до неразрешени за употреба лекарствени продукти извън клинични изпитвания за определени пациенти, особено за тези, които са болни в терминален стадий. Този въпрос изглежда е уреден и в първичното, и в делегираното законодателство. Освен това в две държави (Швеция и Русия) достъпът до тези продукти се оказва възможен независимо от липсата на специални правила. За пет държави (Албания, Кипър, Молдова, Черна гора и Украйна) се оказва, че те не разполагат с налични правила, които да осигуряват достъп до неразрешени за употреба лекарствени продукти извън клиничните изпитвания. Независимо от това обаче, в две от тях (Албания и Украйна) националното право съдържа в известна степен неясни разпоредби, които биха могли да бъдат тълкувани като позволяващи достъп. В същото време съществуват разнообразни практики сред държавите по отношение на вида на предоставения достъп и процедурите, които да бъдат следвани. Става ясно например, че в четири държави (Хърватска, Литва, Полша и Румъния) достъпът до неразрешени за употреба лекарствени продукти е възможен само ако тези продукти са разрешени за употреба в друга юрисдикция. Седем държави предоставят достъп само за индивидуални пациенти, а петнадесет държави предоставят достъп и за индивидуални пациенти, и за групи (или </w:t>
      </w:r>
      <w:proofErr w:type="spellStart"/>
      <w:r w:rsidRPr="00006A07">
        <w:rPr>
          <w:lang w:val="bg-BG"/>
        </w:rPr>
        <w:t>кохорти</w:t>
      </w:r>
      <w:proofErr w:type="spellEnd"/>
      <w:r w:rsidRPr="00006A07">
        <w:rPr>
          <w:lang w:val="bg-BG"/>
        </w:rPr>
        <w:t>). Процедурите за отделни лица и групи като правило са различни, като условията, които се отнасят до груповия достъп, са по-строги.</w:t>
      </w:r>
    </w:p>
    <w:p w:rsidR="0095532B" w:rsidRPr="00006A07" w:rsidRDefault="0095532B" w:rsidP="008D7A78">
      <w:pPr>
        <w:pStyle w:val="JuH1"/>
        <w:rPr>
          <w:lang w:val="bg-BG"/>
        </w:rPr>
      </w:pPr>
      <w:r w:rsidRPr="00006A07">
        <w:rPr>
          <w:lang w:val="bg-BG"/>
        </w:rPr>
        <w:t>2.  В други държави</w:t>
      </w:r>
    </w:p>
    <w:bookmarkStart w:id="42" w:name="RCM_21_CFR_312"/>
    <w:p w:rsidR="0095532B" w:rsidRPr="00006A07" w:rsidRDefault="0095532B" w:rsidP="008D7A78">
      <w:pPr>
        <w:pStyle w:val="JuPara"/>
        <w:rPr>
          <w:lang w:val="bg-BG"/>
        </w:rPr>
      </w:pPr>
      <w:r w:rsidRPr="00006A07">
        <w:rPr>
          <w:lang w:val="bg-BG"/>
        </w:rPr>
        <w:fldChar w:fldCharType="begin"/>
      </w:r>
      <w:r w:rsidRPr="00006A07">
        <w:rPr>
          <w:lang w:val="bg-BG"/>
        </w:rPr>
        <w:instrText xml:space="preserve"> SEQ level0 \*arabic </w:instrText>
      </w:r>
      <w:r w:rsidRPr="00006A07">
        <w:rPr>
          <w:lang w:val="bg-BG"/>
        </w:rPr>
        <w:fldChar w:fldCharType="separate"/>
      </w:r>
      <w:r w:rsidRPr="00006A07">
        <w:rPr>
          <w:noProof/>
          <w:lang w:val="bg-BG"/>
        </w:rPr>
        <w:t>56</w:t>
      </w:r>
      <w:r w:rsidRPr="00006A07">
        <w:rPr>
          <w:lang w:val="bg-BG"/>
        </w:rPr>
        <w:fldChar w:fldCharType="end"/>
      </w:r>
      <w:bookmarkEnd w:id="42"/>
      <w:r w:rsidRPr="00006A07">
        <w:rPr>
          <w:lang w:val="bg-BG"/>
        </w:rPr>
        <w:t xml:space="preserve">.  В САЩ през май 1987 г. е приета уредба, която урежда условия, при които обещаващи нови лекарства, които все още не са получили разрешение за употреба, могат да бъдат предоставени на разположение на лица със сериозни и </w:t>
      </w:r>
      <w:proofErr w:type="spellStart"/>
      <w:r w:rsidRPr="00006A07">
        <w:rPr>
          <w:lang w:val="bg-BG"/>
        </w:rPr>
        <w:t>животозастрашаващи</w:t>
      </w:r>
      <w:proofErr w:type="spellEnd"/>
      <w:r w:rsidRPr="00006A07">
        <w:rPr>
          <w:lang w:val="bg-BG"/>
        </w:rPr>
        <w:t xml:space="preserve"> заболявания, за които няма налични съпоставими или удовлетворителни алтернативни лекарства или терапия. Тази уредба е била променена и разширена през 2009 г. Понастоящем тя е включена в Кодекса на федералните правила (</w:t>
      </w:r>
      <w:proofErr w:type="spellStart"/>
      <w:r w:rsidRPr="00006A07">
        <w:rPr>
          <w:lang w:val="bg-BG"/>
        </w:rPr>
        <w:t>Code</w:t>
      </w:r>
      <w:proofErr w:type="spellEnd"/>
      <w:r w:rsidRPr="00006A07">
        <w:rPr>
          <w:lang w:val="bg-BG"/>
        </w:rPr>
        <w:t xml:space="preserve"> of </w:t>
      </w:r>
      <w:proofErr w:type="spellStart"/>
      <w:r w:rsidRPr="00006A07">
        <w:rPr>
          <w:lang w:val="bg-BG"/>
        </w:rPr>
        <w:t>Federal</w:t>
      </w:r>
      <w:proofErr w:type="spellEnd"/>
      <w:r w:rsidRPr="00006A07">
        <w:rPr>
          <w:lang w:val="bg-BG"/>
        </w:rPr>
        <w:t xml:space="preserve"> </w:t>
      </w:r>
      <w:proofErr w:type="spellStart"/>
      <w:r w:rsidRPr="00006A07">
        <w:rPr>
          <w:lang w:val="bg-BG"/>
        </w:rPr>
        <w:t>Regulations</w:t>
      </w:r>
      <w:proofErr w:type="spellEnd"/>
      <w:r w:rsidRPr="00006A07">
        <w:rPr>
          <w:lang w:val="bg-BG"/>
        </w:rPr>
        <w:t xml:space="preserve">), глава 21, раздел 312, част I </w:t>
      </w:r>
      <w:r w:rsidRPr="00006A07">
        <w:rPr>
          <w:lang w:val="bg-BG"/>
        </w:rPr>
        <w:lastRenderedPageBreak/>
        <w:t xml:space="preserve">(Разширен достъп до експериментални лекарства за лечебна употреба), §§ 312.300 </w:t>
      </w:r>
      <w:r w:rsidRPr="00006A07">
        <w:rPr>
          <w:lang w:val="bg-BG"/>
        </w:rPr>
        <w:noBreakHyphen/>
        <w:t xml:space="preserve"> 320, и е създадена разпоредба за програма за „разширен достъп“, по която Управлението за храните и лекарствата (FDA) може, при определени условия, да разреши употребата на „експериментално ново лекарство“ по отношение на пациенти, които страдат от „сериозно или непосредствено </w:t>
      </w:r>
      <w:proofErr w:type="spellStart"/>
      <w:r w:rsidRPr="00006A07">
        <w:rPr>
          <w:lang w:val="bg-BG"/>
        </w:rPr>
        <w:t>животозастрашаващо</w:t>
      </w:r>
      <w:proofErr w:type="spellEnd"/>
      <w:r w:rsidRPr="00006A07">
        <w:rPr>
          <w:lang w:val="bg-BG"/>
        </w:rPr>
        <w:t xml:space="preserve"> заболяване или състояние, [когато] няма съпоставима или удовлетворителна алтернативна терапия за </w:t>
      </w:r>
      <w:proofErr w:type="spellStart"/>
      <w:r w:rsidRPr="00006A07">
        <w:rPr>
          <w:lang w:val="bg-BG"/>
        </w:rPr>
        <w:t>диагностицирането</w:t>
      </w:r>
      <w:proofErr w:type="spellEnd"/>
      <w:r w:rsidRPr="00006A07">
        <w:rPr>
          <w:lang w:val="bg-BG"/>
        </w:rPr>
        <w:t>, наблюдението или лечението на заболяването или състоянието“ (21 CFR 312.305(a)(1)). Общите критерии, които оказват влияние при вземането на решение от Управлението за храните и лекарствата (FDA) са дали „[п]</w:t>
      </w:r>
      <w:proofErr w:type="spellStart"/>
      <w:r w:rsidRPr="00006A07">
        <w:rPr>
          <w:lang w:val="bg-BG"/>
        </w:rPr>
        <w:t>отенциалните</w:t>
      </w:r>
      <w:proofErr w:type="spellEnd"/>
      <w:r w:rsidRPr="00006A07">
        <w:rPr>
          <w:lang w:val="bg-BG"/>
        </w:rPr>
        <w:t xml:space="preserve"> ползи за пациента оправдават потенциалните рискове от прилагането на лечението и дали тези потенциални рискове не са неоправдани в контекста на заболяването или състоянието, което ще бъде лекувано“ и дали „[п]</w:t>
      </w:r>
      <w:proofErr w:type="spellStart"/>
      <w:r w:rsidRPr="00006A07">
        <w:rPr>
          <w:lang w:val="bg-BG"/>
        </w:rPr>
        <w:t>редоставянето</w:t>
      </w:r>
      <w:proofErr w:type="spellEnd"/>
      <w:r w:rsidRPr="00006A07">
        <w:rPr>
          <w:lang w:val="bg-BG"/>
        </w:rPr>
        <w:t xml:space="preserve"> на експерименталното лекарство за исканата употреба няма да попречи на започването, провеждането или завършването на клинични изпитвания, които биха могли да подкрепят одобрението на употребата при разширен достъп или по друг начин да създадат рискове за потенциалното развитие на употребата при разширен достъп“ (21 CFR 312.305(a)(2) и (3)). Уредбата съдържа отделни  разпоредби за индивидуални пациенти, включително за употреба при спешни случаи (21 CFR 312.310), за средно големи популации пациенти (21 CFR 312.315) и за </w:t>
      </w:r>
      <w:proofErr w:type="spellStart"/>
      <w:r w:rsidRPr="00006A07">
        <w:rPr>
          <w:lang w:val="bg-BG"/>
        </w:rPr>
        <w:t>широкоразпространено</w:t>
      </w:r>
      <w:proofErr w:type="spellEnd"/>
      <w:r w:rsidRPr="00006A07">
        <w:rPr>
          <w:lang w:val="bg-BG"/>
        </w:rPr>
        <w:t xml:space="preserve"> лечение (21 CFR 312.320).</w:t>
      </w:r>
    </w:p>
    <w:bookmarkStart w:id="43" w:name="RCM_Canada_Food_and_Drug_Regulations"/>
    <w:p w:rsidR="0095532B" w:rsidRPr="00006A07" w:rsidRDefault="0095532B" w:rsidP="008D7A78">
      <w:pPr>
        <w:pStyle w:val="JuPara"/>
        <w:rPr>
          <w:lang w:val="bg-BG"/>
        </w:rPr>
      </w:pPr>
      <w:r w:rsidRPr="00006A07">
        <w:rPr>
          <w:lang w:val="bg-BG"/>
        </w:rPr>
        <w:fldChar w:fldCharType="begin"/>
      </w:r>
      <w:r w:rsidRPr="00006A07">
        <w:rPr>
          <w:lang w:val="bg-BG"/>
        </w:rPr>
        <w:instrText xml:space="preserve"> SEQ level0 \*arabic </w:instrText>
      </w:r>
      <w:r w:rsidRPr="00006A07">
        <w:rPr>
          <w:lang w:val="bg-BG"/>
        </w:rPr>
        <w:fldChar w:fldCharType="separate"/>
      </w:r>
      <w:r w:rsidRPr="00006A07">
        <w:rPr>
          <w:noProof/>
          <w:lang w:val="bg-BG"/>
        </w:rPr>
        <w:t>57</w:t>
      </w:r>
      <w:r w:rsidRPr="00006A07">
        <w:rPr>
          <w:lang w:val="bg-BG"/>
        </w:rPr>
        <w:fldChar w:fldCharType="end"/>
      </w:r>
      <w:bookmarkEnd w:id="43"/>
      <w:r w:rsidRPr="00006A07">
        <w:rPr>
          <w:lang w:val="bg-BG"/>
        </w:rPr>
        <w:t xml:space="preserve">.  В Канада членове C.08.010 и C.08.011 от Наредбата за храните и лекарствата съдържат разпоредби за „програми за специален достъп“, които позволяват на практикуващи лекари да поискат достъп до лекарства, които не са налични за продажба в Канада, за лечението на пациенти със сериозни или </w:t>
      </w:r>
      <w:proofErr w:type="spellStart"/>
      <w:r w:rsidRPr="00006A07">
        <w:rPr>
          <w:lang w:val="bg-BG"/>
        </w:rPr>
        <w:t>животозастрашаващи</w:t>
      </w:r>
      <w:proofErr w:type="spellEnd"/>
      <w:r w:rsidRPr="00006A07">
        <w:rPr>
          <w:lang w:val="bg-BG"/>
        </w:rPr>
        <w:t xml:space="preserve"> състояния за </w:t>
      </w:r>
      <w:proofErr w:type="spellStart"/>
      <w:r w:rsidRPr="00006A07">
        <w:rPr>
          <w:lang w:val="bg-BG"/>
        </w:rPr>
        <w:t>палиативна</w:t>
      </w:r>
      <w:proofErr w:type="spellEnd"/>
      <w:r w:rsidRPr="00006A07">
        <w:rPr>
          <w:lang w:val="bg-BG"/>
        </w:rPr>
        <w:t xml:space="preserve"> или спешна употреба, когато конвенционалните терапии са били без резултат, неподходящи са или няма такива на разположение.</w:t>
      </w:r>
    </w:p>
    <w:bookmarkStart w:id="44" w:name="RCM_Australia_Therapeutic_Goods_Regs"/>
    <w:p w:rsidR="0095532B" w:rsidRPr="00006A07" w:rsidRDefault="0095532B" w:rsidP="008D7A78">
      <w:pPr>
        <w:pStyle w:val="JuPara"/>
        <w:rPr>
          <w:lang w:val="bg-BG"/>
        </w:rPr>
      </w:pPr>
      <w:r w:rsidRPr="00006A07">
        <w:rPr>
          <w:lang w:val="bg-BG"/>
        </w:rPr>
        <w:fldChar w:fldCharType="begin"/>
      </w:r>
      <w:r w:rsidRPr="00006A07">
        <w:rPr>
          <w:lang w:val="bg-BG"/>
        </w:rPr>
        <w:instrText xml:space="preserve"> SEQ level0 \*arabic </w:instrText>
      </w:r>
      <w:r w:rsidRPr="00006A07">
        <w:rPr>
          <w:lang w:val="bg-BG"/>
        </w:rPr>
        <w:fldChar w:fldCharType="separate"/>
      </w:r>
      <w:r w:rsidRPr="00006A07">
        <w:rPr>
          <w:noProof/>
          <w:lang w:val="bg-BG"/>
        </w:rPr>
        <w:t>58</w:t>
      </w:r>
      <w:r w:rsidRPr="00006A07">
        <w:rPr>
          <w:lang w:val="bg-BG"/>
        </w:rPr>
        <w:fldChar w:fldCharType="end"/>
      </w:r>
      <w:bookmarkEnd w:id="44"/>
      <w:r w:rsidRPr="00006A07">
        <w:rPr>
          <w:lang w:val="bg-BG"/>
        </w:rPr>
        <w:t>.  В Австралия Администрацията за терапевтични средства към Департамента по здравеопазване и застаряване управлява „схема за специален достъп“, която позволява при определени условия вноса или доставката на неразрешени за употреба лекарствени средства за индивидуални пациенти, или въз основа на преценка на всеки отделен случай (член 18 от Закона за лечебните средства от 1989 г.(</w:t>
      </w:r>
      <w:proofErr w:type="spellStart"/>
      <w:r w:rsidRPr="00006A07">
        <w:rPr>
          <w:lang w:val="bg-BG"/>
        </w:rPr>
        <w:t>Therapeutic</w:t>
      </w:r>
      <w:proofErr w:type="spellEnd"/>
      <w:r w:rsidRPr="00006A07">
        <w:rPr>
          <w:lang w:val="bg-BG"/>
        </w:rPr>
        <w:t xml:space="preserve"> </w:t>
      </w:r>
      <w:proofErr w:type="spellStart"/>
      <w:r w:rsidRPr="00006A07">
        <w:rPr>
          <w:lang w:val="bg-BG"/>
        </w:rPr>
        <w:t>Goods</w:t>
      </w:r>
      <w:proofErr w:type="spellEnd"/>
      <w:r w:rsidRPr="00006A07">
        <w:rPr>
          <w:lang w:val="bg-BG"/>
        </w:rPr>
        <w:t xml:space="preserve"> </w:t>
      </w:r>
      <w:proofErr w:type="spellStart"/>
      <w:r w:rsidRPr="00006A07">
        <w:rPr>
          <w:lang w:val="bg-BG"/>
        </w:rPr>
        <w:t>Act</w:t>
      </w:r>
      <w:proofErr w:type="spellEnd"/>
      <w:r w:rsidRPr="00006A07">
        <w:rPr>
          <w:lang w:val="bg-BG"/>
        </w:rPr>
        <w:t xml:space="preserve"> 1989) и член 12A от Правилника за лечебните средства от 1990 г. (</w:t>
      </w:r>
      <w:proofErr w:type="spellStart"/>
      <w:r w:rsidRPr="00006A07">
        <w:rPr>
          <w:lang w:val="bg-BG"/>
        </w:rPr>
        <w:t>Therapeutic</w:t>
      </w:r>
      <w:proofErr w:type="spellEnd"/>
      <w:r w:rsidRPr="00006A07">
        <w:rPr>
          <w:lang w:val="bg-BG"/>
        </w:rPr>
        <w:t xml:space="preserve"> </w:t>
      </w:r>
      <w:proofErr w:type="spellStart"/>
      <w:r w:rsidRPr="00006A07">
        <w:rPr>
          <w:lang w:val="bg-BG"/>
        </w:rPr>
        <w:t>Goods</w:t>
      </w:r>
      <w:proofErr w:type="spellEnd"/>
      <w:r w:rsidRPr="00006A07">
        <w:rPr>
          <w:lang w:val="bg-BG"/>
        </w:rPr>
        <w:t xml:space="preserve"> </w:t>
      </w:r>
      <w:proofErr w:type="spellStart"/>
      <w:r w:rsidRPr="00006A07">
        <w:rPr>
          <w:lang w:val="bg-BG"/>
        </w:rPr>
        <w:t>Regulations</w:t>
      </w:r>
      <w:proofErr w:type="spellEnd"/>
      <w:r w:rsidRPr="00006A07">
        <w:rPr>
          <w:lang w:val="bg-BG"/>
        </w:rPr>
        <w:t xml:space="preserve"> 1990).</w:t>
      </w:r>
    </w:p>
    <w:p w:rsidR="0095532B" w:rsidRPr="00006A07" w:rsidRDefault="0095532B" w:rsidP="008D7A78">
      <w:pPr>
        <w:pStyle w:val="JuHA"/>
        <w:rPr>
          <w:lang w:val="bg-BG"/>
        </w:rPr>
      </w:pPr>
      <w:r w:rsidRPr="00006A07">
        <w:rPr>
          <w:lang w:val="bg-BG"/>
        </w:rPr>
        <w:lastRenderedPageBreak/>
        <w:t>Б.  Релевантна съдебна практика</w:t>
      </w:r>
    </w:p>
    <w:p w:rsidR="0095532B" w:rsidRPr="00006A07" w:rsidRDefault="0095532B" w:rsidP="008D7A78">
      <w:pPr>
        <w:pStyle w:val="JuH1"/>
        <w:rPr>
          <w:lang w:val="bg-BG"/>
        </w:rPr>
      </w:pPr>
      <w:r w:rsidRPr="00006A07">
        <w:rPr>
          <w:lang w:val="bg-BG"/>
        </w:rPr>
        <w:t>1.  В САЩ</w:t>
      </w:r>
    </w:p>
    <w:bookmarkStart w:id="45" w:name="RCM_United_States_v_Rutherford"/>
    <w:p w:rsidR="0095532B" w:rsidRPr="00006A07" w:rsidRDefault="0095532B" w:rsidP="008D7A78">
      <w:pPr>
        <w:pStyle w:val="JuPara"/>
        <w:rPr>
          <w:lang w:val="bg-BG"/>
        </w:rPr>
      </w:pPr>
      <w:r w:rsidRPr="00006A07">
        <w:rPr>
          <w:lang w:val="bg-BG"/>
        </w:rPr>
        <w:fldChar w:fldCharType="begin"/>
      </w:r>
      <w:r w:rsidRPr="00006A07">
        <w:rPr>
          <w:lang w:val="bg-BG"/>
        </w:rPr>
        <w:instrText xml:space="preserve"> SEQ level0 \*arabic </w:instrText>
      </w:r>
      <w:r w:rsidRPr="00006A07">
        <w:rPr>
          <w:lang w:val="bg-BG"/>
        </w:rPr>
        <w:fldChar w:fldCharType="separate"/>
      </w:r>
      <w:r w:rsidRPr="00006A07">
        <w:rPr>
          <w:noProof/>
          <w:lang w:val="bg-BG"/>
        </w:rPr>
        <w:t>59</w:t>
      </w:r>
      <w:r w:rsidRPr="00006A07">
        <w:rPr>
          <w:lang w:val="bg-BG"/>
        </w:rPr>
        <w:fldChar w:fldCharType="end"/>
      </w:r>
      <w:bookmarkEnd w:id="45"/>
      <w:r w:rsidRPr="00006A07">
        <w:rPr>
          <w:lang w:val="bg-BG"/>
        </w:rPr>
        <w:t xml:space="preserve">.  По делото </w:t>
      </w:r>
      <w:r w:rsidRPr="00006A07">
        <w:rPr>
          <w:i/>
          <w:iCs/>
          <w:lang w:val="bg-BG"/>
        </w:rPr>
        <w:t xml:space="preserve">САЩ v. </w:t>
      </w:r>
      <w:proofErr w:type="spellStart"/>
      <w:r w:rsidRPr="00006A07">
        <w:rPr>
          <w:i/>
          <w:iCs/>
          <w:lang w:val="bg-BG"/>
        </w:rPr>
        <w:t>Rutherford</w:t>
      </w:r>
      <w:proofErr w:type="spellEnd"/>
      <w:r w:rsidRPr="00006A07">
        <w:rPr>
          <w:lang w:val="bg-BG"/>
        </w:rPr>
        <w:t xml:space="preserve">, 442 U.S. 544 (1979) Върховният съд на САЩ единодушно отхвърля искане от терминално болни от рак пациенти да забрани на властите да възпрепятстват разпространението на неразрешено за употреба лекарство. Съдът е постановил, че законодателната схема, която урежда издаването на разрешения за употреба на лекарства не съдържа имплицитно освобождаване от правилата по отношение на лекарства, предназначени за употреба от терминално болни. Според съда стандартите за безопасност и ефективност, предвидени в законодателството, се прилагат еднакво към такива лекарства, тъй като може да се приеме, че законодателната власт има за цел да предпази терминално болните пациенти от неефективни или небезопасни лекарства. За такива пациенти, както и за всички други, лекарството е небезопасно, ако потенциалът му да причини смърт или физическо увреждане не се компенсира от възможността да доведе до терапевтични ползи. По отношение на терминално болни хора, неразрешените за употреба лекарства съдържат допълнителен риск – този, че въпросните лица може да се въздържат или да се откажат от конвенционалната терапия в полза на лекарство без явни лечебни свойства, с потенциално необратими последици. В тази връзка съдът отбелязва, въз основа на представена пред него експертиза, че при болести като рак често е невъзможно да се определи дали пациентът е терминално болен, освен в ретроспекция. Освен това съдът посочва, че приемането на твърдението, че законовите стандарти за безопасност и ефикасност не се отнасят за терминално болни пациенти би било равносилно на това да се отхвърлят правомощията на властите да създадат уредба за всички лекарства, независимо дали токсични или неефективни, по отношение на такива лица, което би позволило злоупотреби при продажбата на много лекарствени средства, за които се твърди, че са прости и безболезнени. Накрая съдът посочва, че неговото решение не изключва всички възможности за прибягване до експериментални лекарства срещу рак от пациенти, за които конвенционалната терапия е без резултат, защото законодателната схема освобождава от изискването за одобрение преди пускането на пазара на лекарства, предназначени само за експериментална употреба, ако те отговарят на определени критерии за </w:t>
      </w:r>
      <w:proofErr w:type="spellStart"/>
      <w:r w:rsidRPr="00006A07">
        <w:rPr>
          <w:lang w:val="bg-BG"/>
        </w:rPr>
        <w:t>предклинично</w:t>
      </w:r>
      <w:proofErr w:type="spellEnd"/>
      <w:r w:rsidRPr="00006A07">
        <w:rPr>
          <w:lang w:val="bg-BG"/>
        </w:rPr>
        <w:t xml:space="preserve"> тестване и други критерии.</w:t>
      </w:r>
    </w:p>
    <w:bookmarkStart w:id="46" w:name="RCM_Raich_v_Gonzales"/>
    <w:p w:rsidR="0095532B" w:rsidRPr="00006A07" w:rsidRDefault="0095532B" w:rsidP="008D7A78">
      <w:pPr>
        <w:pStyle w:val="JuPara"/>
        <w:rPr>
          <w:lang w:val="bg-BG"/>
        </w:rPr>
      </w:pPr>
      <w:r w:rsidRPr="00006A07">
        <w:rPr>
          <w:lang w:val="bg-BG"/>
        </w:rPr>
        <w:fldChar w:fldCharType="begin"/>
      </w:r>
      <w:r w:rsidRPr="00006A07">
        <w:rPr>
          <w:lang w:val="bg-BG"/>
        </w:rPr>
        <w:instrText xml:space="preserve"> SEQ level0 \*arabic </w:instrText>
      </w:r>
      <w:r w:rsidRPr="00006A07">
        <w:rPr>
          <w:lang w:val="bg-BG"/>
        </w:rPr>
        <w:fldChar w:fldCharType="separate"/>
      </w:r>
      <w:r w:rsidRPr="00006A07">
        <w:rPr>
          <w:noProof/>
          <w:lang w:val="bg-BG"/>
        </w:rPr>
        <w:t>60</w:t>
      </w:r>
      <w:r w:rsidRPr="00006A07">
        <w:rPr>
          <w:lang w:val="bg-BG"/>
        </w:rPr>
        <w:fldChar w:fldCharType="end"/>
      </w:r>
      <w:bookmarkEnd w:id="46"/>
      <w:r w:rsidRPr="00006A07">
        <w:rPr>
          <w:lang w:val="bg-BG"/>
        </w:rPr>
        <w:t xml:space="preserve">.  В по-скорошното дело </w:t>
      </w:r>
      <w:proofErr w:type="spellStart"/>
      <w:r w:rsidRPr="00006A07">
        <w:rPr>
          <w:i/>
          <w:iCs/>
          <w:lang w:val="bg-BG"/>
        </w:rPr>
        <w:t>Raich</w:t>
      </w:r>
      <w:proofErr w:type="spellEnd"/>
      <w:r w:rsidRPr="00006A07">
        <w:rPr>
          <w:i/>
          <w:iCs/>
          <w:lang w:val="bg-BG"/>
        </w:rPr>
        <w:t xml:space="preserve"> v. </w:t>
      </w:r>
      <w:proofErr w:type="spellStart"/>
      <w:r w:rsidRPr="00006A07">
        <w:rPr>
          <w:i/>
          <w:iCs/>
          <w:lang w:val="bg-BG"/>
        </w:rPr>
        <w:t>Gonzales</w:t>
      </w:r>
      <w:proofErr w:type="spellEnd"/>
      <w:r w:rsidRPr="00006A07">
        <w:rPr>
          <w:lang w:val="bg-BG"/>
        </w:rPr>
        <w:t xml:space="preserve">, в решение от 14 март 2007 г. (500 F.3d 850) Апелативният съд на Девети съдебен окръг на САЩ, постановява, </w:t>
      </w:r>
      <w:r w:rsidRPr="00006A07">
        <w:rPr>
          <w:iCs/>
          <w:lang w:val="bg-BG"/>
        </w:rPr>
        <w:t>наред с другото</w:t>
      </w:r>
      <w:r w:rsidRPr="00006A07">
        <w:rPr>
          <w:lang w:val="bg-BG"/>
        </w:rPr>
        <w:t xml:space="preserve">, че при съответните обстоятелства, съгласно клаузата за надлежен процес в Конституцията на САЩ, не съществува право за употреба на медицинска марихуана по лекарска </w:t>
      </w:r>
      <w:r w:rsidRPr="00006A07">
        <w:rPr>
          <w:lang w:val="bg-BG"/>
        </w:rPr>
        <w:lastRenderedPageBreak/>
        <w:t>препоръка с цел запазване на телесната неприкосновеност, избягване на непоносима болка и запазване на живота, дори, когато всички други предписани лекарства и други средства са останали без резултат.</w:t>
      </w:r>
    </w:p>
    <w:bookmarkStart w:id="47" w:name="RCM_Abigail_Alliance_v_Eschenbach"/>
    <w:p w:rsidR="0095532B" w:rsidRPr="00006A07" w:rsidRDefault="0095532B" w:rsidP="008D7A78">
      <w:pPr>
        <w:pStyle w:val="JuPara"/>
        <w:rPr>
          <w:lang w:val="bg-BG"/>
        </w:rPr>
      </w:pPr>
      <w:r w:rsidRPr="00006A07">
        <w:rPr>
          <w:lang w:val="bg-BG"/>
        </w:rPr>
        <w:fldChar w:fldCharType="begin"/>
      </w:r>
      <w:r w:rsidRPr="00006A07">
        <w:rPr>
          <w:lang w:val="bg-BG"/>
        </w:rPr>
        <w:instrText xml:space="preserve"> SEQ level0 \*arabic </w:instrText>
      </w:r>
      <w:r w:rsidRPr="00006A07">
        <w:rPr>
          <w:lang w:val="bg-BG"/>
        </w:rPr>
        <w:fldChar w:fldCharType="separate"/>
      </w:r>
      <w:r w:rsidRPr="00006A07">
        <w:rPr>
          <w:noProof/>
          <w:lang w:val="bg-BG"/>
        </w:rPr>
        <w:t>61</w:t>
      </w:r>
      <w:r w:rsidRPr="00006A07">
        <w:rPr>
          <w:lang w:val="bg-BG"/>
        </w:rPr>
        <w:fldChar w:fldCharType="end"/>
      </w:r>
      <w:bookmarkEnd w:id="47"/>
      <w:r w:rsidRPr="00006A07">
        <w:rPr>
          <w:lang w:val="bg-BG"/>
        </w:rPr>
        <w:t xml:space="preserve">.  По делото </w:t>
      </w:r>
      <w:proofErr w:type="spellStart"/>
      <w:r w:rsidRPr="00006A07">
        <w:rPr>
          <w:i/>
          <w:iCs/>
          <w:lang w:val="bg-BG"/>
        </w:rPr>
        <w:t>Abigail</w:t>
      </w:r>
      <w:proofErr w:type="spellEnd"/>
      <w:r w:rsidRPr="00006A07">
        <w:rPr>
          <w:i/>
          <w:iCs/>
          <w:lang w:val="bg-BG"/>
        </w:rPr>
        <w:t xml:space="preserve"> </w:t>
      </w:r>
      <w:proofErr w:type="spellStart"/>
      <w:r w:rsidRPr="00006A07">
        <w:rPr>
          <w:i/>
          <w:iCs/>
          <w:lang w:val="bg-BG"/>
        </w:rPr>
        <w:t>Alliance</w:t>
      </w:r>
      <w:proofErr w:type="spellEnd"/>
      <w:r w:rsidRPr="00006A07">
        <w:rPr>
          <w:i/>
          <w:iCs/>
          <w:lang w:val="bg-BG"/>
        </w:rPr>
        <w:t xml:space="preserve"> </w:t>
      </w:r>
      <w:proofErr w:type="spellStart"/>
      <w:r w:rsidRPr="00006A07">
        <w:rPr>
          <w:i/>
          <w:iCs/>
          <w:lang w:val="bg-BG"/>
        </w:rPr>
        <w:t>for</w:t>
      </w:r>
      <w:proofErr w:type="spellEnd"/>
      <w:r w:rsidRPr="00006A07">
        <w:rPr>
          <w:i/>
          <w:iCs/>
          <w:lang w:val="bg-BG"/>
        </w:rPr>
        <w:t xml:space="preserve"> </w:t>
      </w:r>
      <w:proofErr w:type="spellStart"/>
      <w:r w:rsidRPr="00006A07">
        <w:rPr>
          <w:i/>
          <w:iCs/>
          <w:lang w:val="bg-BG"/>
        </w:rPr>
        <w:t>Better</w:t>
      </w:r>
      <w:proofErr w:type="spellEnd"/>
      <w:r w:rsidRPr="00006A07">
        <w:rPr>
          <w:i/>
          <w:iCs/>
          <w:lang w:val="bg-BG"/>
        </w:rPr>
        <w:t xml:space="preserve"> Access to </w:t>
      </w:r>
      <w:proofErr w:type="spellStart"/>
      <w:r w:rsidRPr="00006A07">
        <w:rPr>
          <w:i/>
          <w:iCs/>
          <w:lang w:val="bg-BG"/>
        </w:rPr>
        <w:t>Developmental</w:t>
      </w:r>
      <w:proofErr w:type="spellEnd"/>
      <w:r w:rsidRPr="00006A07">
        <w:rPr>
          <w:i/>
          <w:iCs/>
          <w:lang w:val="bg-BG"/>
        </w:rPr>
        <w:t xml:space="preserve"> </w:t>
      </w:r>
      <w:proofErr w:type="spellStart"/>
      <w:r w:rsidRPr="00006A07">
        <w:rPr>
          <w:i/>
          <w:iCs/>
          <w:lang w:val="bg-BG"/>
        </w:rPr>
        <w:t>Drugs</w:t>
      </w:r>
      <w:proofErr w:type="spellEnd"/>
      <w:r w:rsidRPr="00006A07">
        <w:rPr>
          <w:i/>
          <w:iCs/>
          <w:lang w:val="bg-BG"/>
        </w:rPr>
        <w:t xml:space="preserve"> </w:t>
      </w:r>
      <w:proofErr w:type="spellStart"/>
      <w:r w:rsidRPr="00006A07">
        <w:rPr>
          <w:i/>
          <w:iCs/>
          <w:lang w:val="bg-BG"/>
        </w:rPr>
        <w:t>et</w:t>
      </w:r>
      <w:proofErr w:type="spellEnd"/>
      <w:r w:rsidRPr="00006A07">
        <w:rPr>
          <w:i/>
          <w:iCs/>
          <w:lang w:val="bg-BG"/>
        </w:rPr>
        <w:t xml:space="preserve"> </w:t>
      </w:r>
      <w:proofErr w:type="spellStart"/>
      <w:r w:rsidRPr="00006A07">
        <w:rPr>
          <w:i/>
          <w:iCs/>
          <w:lang w:val="bg-BG"/>
        </w:rPr>
        <w:t>al</w:t>
      </w:r>
      <w:proofErr w:type="spellEnd"/>
      <w:r w:rsidRPr="00006A07">
        <w:rPr>
          <w:i/>
          <w:iCs/>
          <w:lang w:val="bg-BG"/>
        </w:rPr>
        <w:t xml:space="preserve">. v. </w:t>
      </w:r>
      <w:proofErr w:type="spellStart"/>
      <w:r w:rsidRPr="00006A07">
        <w:rPr>
          <w:i/>
          <w:iCs/>
          <w:lang w:val="bg-BG"/>
        </w:rPr>
        <w:t>von</w:t>
      </w:r>
      <w:proofErr w:type="spellEnd"/>
      <w:r w:rsidRPr="00006A07">
        <w:rPr>
          <w:i/>
          <w:iCs/>
          <w:lang w:val="bg-BG"/>
        </w:rPr>
        <w:t xml:space="preserve"> </w:t>
      </w:r>
      <w:proofErr w:type="spellStart"/>
      <w:r w:rsidRPr="00006A07">
        <w:rPr>
          <w:i/>
          <w:iCs/>
          <w:lang w:val="bg-BG"/>
        </w:rPr>
        <w:t>Eschenbach</w:t>
      </w:r>
      <w:proofErr w:type="spellEnd"/>
      <w:r w:rsidRPr="00006A07">
        <w:rPr>
          <w:i/>
          <w:iCs/>
          <w:lang w:val="bg-BG"/>
        </w:rPr>
        <w:t xml:space="preserve"> </w:t>
      </w:r>
      <w:proofErr w:type="spellStart"/>
      <w:r w:rsidRPr="00006A07">
        <w:rPr>
          <w:i/>
          <w:iCs/>
          <w:lang w:val="bg-BG"/>
        </w:rPr>
        <w:t>et</w:t>
      </w:r>
      <w:proofErr w:type="spellEnd"/>
      <w:r w:rsidRPr="00006A07">
        <w:rPr>
          <w:i/>
          <w:iCs/>
          <w:lang w:val="bg-BG"/>
        </w:rPr>
        <w:t xml:space="preserve"> </w:t>
      </w:r>
      <w:proofErr w:type="spellStart"/>
      <w:r w:rsidRPr="00006A07">
        <w:rPr>
          <w:i/>
          <w:iCs/>
          <w:lang w:val="bg-BG"/>
        </w:rPr>
        <w:t>al</w:t>
      </w:r>
      <w:proofErr w:type="spellEnd"/>
      <w:r w:rsidRPr="00006A07">
        <w:rPr>
          <w:i/>
          <w:iCs/>
          <w:lang w:val="bg-BG"/>
        </w:rPr>
        <w:t>.</w:t>
      </w:r>
      <w:r w:rsidRPr="00006A07">
        <w:rPr>
          <w:lang w:val="bg-BG"/>
        </w:rPr>
        <w:t>, в решение от 2 май 2006 г. (445 F.3d 470) тричленен състав на Апелативния съд на Окръг Колумбия на САЩ постановява, с два срещу един гласа, че съгласно клаузата за надлежен процес от Конституцията на САЩ терминално болни пациенти имат право да решават дали да приемат неразрешено за употреба лекарство, което е било във фаза 2 или фаза 3 на клинични изпитвания и което производителят е готов да предостави. Съдът установява, че това право има дълбоки корени в традиционните доктрини за самозащита и възпрепятстване на помощ (</w:t>
      </w:r>
      <w:proofErr w:type="spellStart"/>
      <w:r w:rsidRPr="00006A07">
        <w:rPr>
          <w:lang w:val="bg-BG"/>
        </w:rPr>
        <w:t>interference</w:t>
      </w:r>
      <w:proofErr w:type="spellEnd"/>
      <w:r w:rsidRPr="00006A07">
        <w:rPr>
          <w:lang w:val="bg-BG"/>
        </w:rPr>
        <w:t xml:space="preserve"> </w:t>
      </w:r>
      <w:proofErr w:type="spellStart"/>
      <w:r w:rsidRPr="00006A07">
        <w:rPr>
          <w:lang w:val="bg-BG"/>
        </w:rPr>
        <w:t>with</w:t>
      </w:r>
      <w:proofErr w:type="spellEnd"/>
      <w:r w:rsidRPr="00006A07">
        <w:rPr>
          <w:lang w:val="bg-BG"/>
        </w:rPr>
        <w:t xml:space="preserve"> </w:t>
      </w:r>
      <w:proofErr w:type="spellStart"/>
      <w:r w:rsidRPr="00006A07">
        <w:rPr>
          <w:lang w:val="bg-BG"/>
        </w:rPr>
        <w:t>rescue</w:t>
      </w:r>
      <w:proofErr w:type="spellEnd"/>
      <w:r w:rsidRPr="00006A07">
        <w:rPr>
          <w:lang w:val="bg-BG"/>
        </w:rPr>
        <w:t>), и че федералната уредба на ефективността на лекарствата е твърде скорошна и хаотична, за да „установи, че Правителството е придобило собственост върху [това] право чрез недобросъвестно владение (</w:t>
      </w:r>
      <w:proofErr w:type="spellStart"/>
      <w:r w:rsidRPr="00006A07">
        <w:rPr>
          <w:lang w:val="bg-BG"/>
        </w:rPr>
        <w:t>adverse</w:t>
      </w:r>
      <w:proofErr w:type="spellEnd"/>
      <w:r w:rsidRPr="00006A07">
        <w:rPr>
          <w:lang w:val="bg-BG"/>
        </w:rPr>
        <w:t xml:space="preserve"> </w:t>
      </w:r>
      <w:proofErr w:type="spellStart"/>
      <w:r w:rsidRPr="00006A07">
        <w:rPr>
          <w:lang w:val="bg-BG"/>
        </w:rPr>
        <w:t>possession</w:t>
      </w:r>
      <w:proofErr w:type="spellEnd"/>
      <w:r w:rsidRPr="00006A07">
        <w:rPr>
          <w:lang w:val="bg-BG"/>
        </w:rPr>
        <w:t>)“. Съставът посочва също така, че това право е „имплицитно в концепцията за организираната свобода (</w:t>
      </w:r>
      <w:proofErr w:type="spellStart"/>
      <w:r w:rsidRPr="00006A07">
        <w:rPr>
          <w:lang w:val="bg-BG"/>
        </w:rPr>
        <w:t>ordered</w:t>
      </w:r>
      <w:proofErr w:type="spellEnd"/>
      <w:r w:rsidRPr="00006A07">
        <w:rPr>
          <w:lang w:val="bg-BG"/>
        </w:rPr>
        <w:t xml:space="preserve"> </w:t>
      </w:r>
      <w:proofErr w:type="spellStart"/>
      <w:r w:rsidRPr="00006A07">
        <w:rPr>
          <w:lang w:val="bg-BG"/>
        </w:rPr>
        <w:t>liberty</w:t>
      </w:r>
      <w:proofErr w:type="spellEnd"/>
      <w:r w:rsidRPr="00006A07">
        <w:rPr>
          <w:lang w:val="bg-BG"/>
        </w:rPr>
        <w:t>)“.</w:t>
      </w:r>
    </w:p>
    <w:bookmarkStart w:id="48" w:name="RCM_Abigail_Alliance_v_Eschenbach_bis"/>
    <w:p w:rsidR="0095532B" w:rsidRPr="00006A07" w:rsidRDefault="0095532B" w:rsidP="008D7A78">
      <w:pPr>
        <w:pStyle w:val="JuPara"/>
        <w:rPr>
          <w:lang w:val="bg-BG"/>
        </w:rPr>
      </w:pPr>
      <w:r w:rsidRPr="00006A07">
        <w:rPr>
          <w:lang w:val="bg-BG"/>
        </w:rPr>
        <w:fldChar w:fldCharType="begin"/>
      </w:r>
      <w:r w:rsidRPr="00006A07">
        <w:rPr>
          <w:lang w:val="bg-BG"/>
        </w:rPr>
        <w:instrText xml:space="preserve"> SEQ level0 \*arabic </w:instrText>
      </w:r>
      <w:r w:rsidRPr="00006A07">
        <w:rPr>
          <w:lang w:val="bg-BG"/>
        </w:rPr>
        <w:fldChar w:fldCharType="separate"/>
      </w:r>
      <w:r w:rsidRPr="00006A07">
        <w:rPr>
          <w:noProof/>
          <w:lang w:val="bg-BG"/>
        </w:rPr>
        <w:t>62</w:t>
      </w:r>
      <w:r w:rsidRPr="00006A07">
        <w:rPr>
          <w:lang w:val="bg-BG"/>
        </w:rPr>
        <w:fldChar w:fldCharType="end"/>
      </w:r>
      <w:bookmarkEnd w:id="48"/>
      <w:r w:rsidRPr="00006A07">
        <w:rPr>
          <w:lang w:val="bg-BG"/>
        </w:rPr>
        <w:t xml:space="preserve">.  Относно жалба от Управлението за храните и лекарствата (FDA), същият съд разглежда отново делото </w:t>
      </w:r>
      <w:proofErr w:type="spellStart"/>
      <w:r w:rsidRPr="00006A07">
        <w:rPr>
          <w:i/>
          <w:iCs/>
          <w:lang w:val="bg-BG"/>
        </w:rPr>
        <w:t>en</w:t>
      </w:r>
      <w:proofErr w:type="spellEnd"/>
      <w:r w:rsidRPr="00006A07">
        <w:rPr>
          <w:i/>
          <w:iCs/>
          <w:lang w:val="bg-BG"/>
        </w:rPr>
        <w:t xml:space="preserve"> </w:t>
      </w:r>
      <w:proofErr w:type="spellStart"/>
      <w:r w:rsidRPr="00006A07">
        <w:rPr>
          <w:i/>
          <w:iCs/>
          <w:lang w:val="bg-BG"/>
        </w:rPr>
        <w:t>banc</w:t>
      </w:r>
      <w:proofErr w:type="spellEnd"/>
      <w:r w:rsidRPr="00006A07">
        <w:rPr>
          <w:lang w:val="bg-BG"/>
        </w:rPr>
        <w:t xml:space="preserve"> и с решение от 7 август 2007 г. (495 F.3d 695) постановява, с осем на два гласа, че федералната уредба на лекарствата е „в съответствие с историческата традиция за забрана на продажбата на небезопасни лекарства“. „Спорно ограничената“ история на уредбата на ефикасността преди 1962 г., когато уредбата в САЩ е приела настоящата си форма, не установява основно право, защото законодателната и изпълнителната власт „последователно са отговаряли на новите рискове, създавани от развиващата се технология“ и защото законодателната власт е имала „ясно установено правомощие да създава уредба в отговор на напредъка в науката, математиката и медицината“. Съдът посочва, че самозащитата, </w:t>
      </w:r>
      <w:proofErr w:type="spellStart"/>
      <w:r w:rsidRPr="00006A07">
        <w:rPr>
          <w:lang w:val="bg-BG"/>
        </w:rPr>
        <w:t>деликтът</w:t>
      </w:r>
      <w:proofErr w:type="spellEnd"/>
      <w:r w:rsidRPr="00006A07">
        <w:rPr>
          <w:lang w:val="bg-BG"/>
        </w:rPr>
        <w:t xml:space="preserve"> по възпрепятстване на помощ, и делата за аборти пред Върховния съд на САЩ, при които става дума за „живота или здравето на майката“, не предоставят подкрепа за правото да се търсят експериментални лекарства, тъй като тези доктрини защитават единствено „необходими“ животоспасяващи мерки, докато ищците са търсели „достъп до лекарства, които са [били] експериментални и не са показали безопасността си, а още по-малко ефективността си (или „необходимостта“ от тях) за удължаване на живота“.</w:t>
      </w:r>
    </w:p>
    <w:bookmarkStart w:id="49" w:name="RCM_Abigail_Alliance_v_Eschenbach_ter"/>
    <w:p w:rsidR="0095532B" w:rsidRPr="00006A07" w:rsidRDefault="0095532B" w:rsidP="008D7A78">
      <w:pPr>
        <w:pStyle w:val="JuPara"/>
        <w:rPr>
          <w:lang w:val="bg-BG"/>
        </w:rPr>
      </w:pPr>
      <w:r w:rsidRPr="00006A07">
        <w:rPr>
          <w:lang w:val="bg-BG"/>
        </w:rPr>
        <w:fldChar w:fldCharType="begin"/>
      </w:r>
      <w:r w:rsidRPr="00006A07">
        <w:rPr>
          <w:lang w:val="bg-BG"/>
        </w:rPr>
        <w:instrText xml:space="preserve"> SEQ level0 \*arabic </w:instrText>
      </w:r>
      <w:r w:rsidRPr="00006A07">
        <w:rPr>
          <w:lang w:val="bg-BG"/>
        </w:rPr>
        <w:fldChar w:fldCharType="separate"/>
      </w:r>
      <w:r w:rsidRPr="00006A07">
        <w:rPr>
          <w:noProof/>
          <w:lang w:val="bg-BG"/>
        </w:rPr>
        <w:t>63</w:t>
      </w:r>
      <w:r w:rsidRPr="00006A07">
        <w:rPr>
          <w:lang w:val="bg-BG"/>
        </w:rPr>
        <w:fldChar w:fldCharType="end"/>
      </w:r>
      <w:bookmarkEnd w:id="49"/>
      <w:r w:rsidRPr="00006A07">
        <w:rPr>
          <w:lang w:val="bg-BG"/>
        </w:rPr>
        <w:t xml:space="preserve">.  На 14 януари 2008 г. Върховният съд на САЩ отказва да изиска делото от </w:t>
      </w:r>
      <w:proofErr w:type="spellStart"/>
      <w:r w:rsidRPr="00006A07">
        <w:rPr>
          <w:lang w:val="bg-BG"/>
        </w:rPr>
        <w:t>нисшестоящия</w:t>
      </w:r>
      <w:proofErr w:type="spellEnd"/>
      <w:r w:rsidRPr="00006A07">
        <w:rPr>
          <w:lang w:val="bg-BG"/>
        </w:rPr>
        <w:t xml:space="preserve"> съд (552 U.S. 1159).</w:t>
      </w:r>
    </w:p>
    <w:bookmarkStart w:id="50" w:name="RCM_Abney_v_Amgen"/>
    <w:p w:rsidR="0095532B" w:rsidRPr="00006A07" w:rsidRDefault="0095532B" w:rsidP="008D7A78">
      <w:pPr>
        <w:pStyle w:val="JuPara"/>
        <w:rPr>
          <w:lang w:val="bg-BG"/>
        </w:rPr>
      </w:pPr>
      <w:r w:rsidRPr="00006A07">
        <w:rPr>
          <w:lang w:val="bg-BG"/>
        </w:rPr>
        <w:fldChar w:fldCharType="begin"/>
      </w:r>
      <w:r w:rsidRPr="00006A07">
        <w:rPr>
          <w:lang w:val="bg-BG"/>
        </w:rPr>
        <w:instrText xml:space="preserve"> SEQ level0 \*arabic </w:instrText>
      </w:r>
      <w:r w:rsidRPr="00006A07">
        <w:rPr>
          <w:lang w:val="bg-BG"/>
        </w:rPr>
        <w:fldChar w:fldCharType="separate"/>
      </w:r>
      <w:r w:rsidRPr="00006A07">
        <w:rPr>
          <w:noProof/>
          <w:lang w:val="bg-BG"/>
        </w:rPr>
        <w:t>64</w:t>
      </w:r>
      <w:r w:rsidRPr="00006A07">
        <w:rPr>
          <w:lang w:val="bg-BG"/>
        </w:rPr>
        <w:fldChar w:fldCharType="end"/>
      </w:r>
      <w:bookmarkEnd w:id="50"/>
      <w:r w:rsidRPr="00006A07">
        <w:rPr>
          <w:lang w:val="bg-BG"/>
        </w:rPr>
        <w:t xml:space="preserve">.  По делото </w:t>
      </w:r>
      <w:proofErr w:type="spellStart"/>
      <w:r w:rsidRPr="00006A07">
        <w:rPr>
          <w:i/>
          <w:iCs/>
          <w:lang w:val="bg-BG"/>
        </w:rPr>
        <w:t>Abney</w:t>
      </w:r>
      <w:proofErr w:type="spellEnd"/>
      <w:r w:rsidRPr="00006A07">
        <w:rPr>
          <w:i/>
          <w:iCs/>
          <w:lang w:val="bg-BG"/>
        </w:rPr>
        <w:t xml:space="preserve"> </w:t>
      </w:r>
      <w:proofErr w:type="spellStart"/>
      <w:r w:rsidRPr="00006A07">
        <w:rPr>
          <w:i/>
          <w:iCs/>
          <w:lang w:val="bg-BG"/>
        </w:rPr>
        <w:t>et</w:t>
      </w:r>
      <w:proofErr w:type="spellEnd"/>
      <w:r w:rsidRPr="00006A07">
        <w:rPr>
          <w:i/>
          <w:iCs/>
          <w:lang w:val="bg-BG"/>
        </w:rPr>
        <w:t xml:space="preserve"> </w:t>
      </w:r>
      <w:proofErr w:type="spellStart"/>
      <w:r w:rsidRPr="00006A07">
        <w:rPr>
          <w:i/>
          <w:iCs/>
          <w:lang w:val="bg-BG"/>
        </w:rPr>
        <w:t>al</w:t>
      </w:r>
      <w:proofErr w:type="spellEnd"/>
      <w:r w:rsidRPr="00006A07">
        <w:rPr>
          <w:i/>
          <w:iCs/>
          <w:lang w:val="bg-BG"/>
        </w:rPr>
        <w:t xml:space="preserve">. v. </w:t>
      </w:r>
      <w:proofErr w:type="spellStart"/>
      <w:r w:rsidRPr="00006A07">
        <w:rPr>
          <w:i/>
          <w:iCs/>
          <w:lang w:val="bg-BG"/>
        </w:rPr>
        <w:t>Amgen</w:t>
      </w:r>
      <w:proofErr w:type="spellEnd"/>
      <w:r w:rsidRPr="00006A07">
        <w:rPr>
          <w:i/>
          <w:iCs/>
          <w:lang w:val="bg-BG"/>
        </w:rPr>
        <w:t xml:space="preserve">, </w:t>
      </w:r>
      <w:proofErr w:type="spellStart"/>
      <w:r w:rsidRPr="00006A07">
        <w:rPr>
          <w:i/>
          <w:iCs/>
          <w:lang w:val="bg-BG"/>
        </w:rPr>
        <w:t>Inc</w:t>
      </w:r>
      <w:proofErr w:type="spellEnd"/>
      <w:r w:rsidRPr="00006A07">
        <w:rPr>
          <w:i/>
          <w:iCs/>
          <w:lang w:val="bg-BG"/>
        </w:rPr>
        <w:t>.</w:t>
      </w:r>
      <w:r w:rsidRPr="00006A07">
        <w:rPr>
          <w:lang w:val="bg-BG"/>
        </w:rPr>
        <w:t xml:space="preserve">, 443 F.3d 540, на 29 март 2006 г., Апелативният съд на Шести съдебен окръг на САЩ потвърждава решение на долната инстанция за неиздаване на </w:t>
      </w:r>
      <w:r w:rsidRPr="00006A07">
        <w:rPr>
          <w:lang w:val="bg-BG"/>
        </w:rPr>
        <w:lastRenderedPageBreak/>
        <w:t>търсената от ищците съдебна заповед, с която лицата, участващи в клинично изпитване на лекарства, спонсорирано от ответника, производител на лекарства, да изискат ответникът да продължи да ги снабдява с лекарството, независимо че клиничното изпитване е приключило.</w:t>
      </w:r>
    </w:p>
    <w:p w:rsidR="0095532B" w:rsidRPr="00006A07" w:rsidRDefault="0095532B" w:rsidP="008D7A78">
      <w:pPr>
        <w:pStyle w:val="JuH1"/>
        <w:rPr>
          <w:lang w:val="bg-BG"/>
        </w:rPr>
      </w:pPr>
      <w:r w:rsidRPr="00006A07">
        <w:rPr>
          <w:lang w:val="bg-BG"/>
        </w:rPr>
        <w:t>2.  В Канада</w:t>
      </w:r>
    </w:p>
    <w:bookmarkStart w:id="51" w:name="RCM_Delisle_v_Canada"/>
    <w:p w:rsidR="0095532B" w:rsidRPr="00006A07" w:rsidRDefault="0095532B" w:rsidP="008D7A78">
      <w:pPr>
        <w:pStyle w:val="JuPara"/>
        <w:rPr>
          <w:lang w:val="bg-BG"/>
        </w:rPr>
      </w:pPr>
      <w:r w:rsidRPr="00006A07">
        <w:rPr>
          <w:lang w:val="bg-BG"/>
        </w:rPr>
        <w:fldChar w:fldCharType="begin"/>
      </w:r>
      <w:r w:rsidRPr="00006A07">
        <w:rPr>
          <w:lang w:val="bg-BG"/>
        </w:rPr>
        <w:instrText xml:space="preserve"> SEQ level0 \*arabic </w:instrText>
      </w:r>
      <w:r w:rsidRPr="00006A07">
        <w:rPr>
          <w:lang w:val="bg-BG"/>
        </w:rPr>
        <w:fldChar w:fldCharType="separate"/>
      </w:r>
      <w:r w:rsidRPr="00006A07">
        <w:rPr>
          <w:noProof/>
          <w:lang w:val="bg-BG"/>
        </w:rPr>
        <w:t>65</w:t>
      </w:r>
      <w:r w:rsidRPr="00006A07">
        <w:rPr>
          <w:lang w:val="bg-BG"/>
        </w:rPr>
        <w:fldChar w:fldCharType="end"/>
      </w:r>
      <w:bookmarkEnd w:id="51"/>
      <w:r w:rsidRPr="00006A07">
        <w:rPr>
          <w:lang w:val="bg-BG"/>
        </w:rPr>
        <w:t xml:space="preserve">.  По делото </w:t>
      </w:r>
      <w:proofErr w:type="spellStart"/>
      <w:r w:rsidRPr="00006A07">
        <w:rPr>
          <w:i/>
          <w:iCs/>
          <w:lang w:val="bg-BG"/>
        </w:rPr>
        <w:t>Delisle</w:t>
      </w:r>
      <w:proofErr w:type="spellEnd"/>
      <w:r w:rsidRPr="00006A07">
        <w:rPr>
          <w:i/>
          <w:iCs/>
          <w:lang w:val="bg-BG"/>
        </w:rPr>
        <w:t xml:space="preserve"> v. </w:t>
      </w:r>
      <w:proofErr w:type="spellStart"/>
      <w:r w:rsidRPr="00006A07">
        <w:rPr>
          <w:i/>
          <w:iCs/>
          <w:lang w:val="bg-BG"/>
        </w:rPr>
        <w:t>Canada</w:t>
      </w:r>
      <w:proofErr w:type="spellEnd"/>
      <w:r w:rsidRPr="00006A07">
        <w:rPr>
          <w:i/>
          <w:iCs/>
          <w:lang w:val="bg-BG"/>
        </w:rPr>
        <w:t xml:space="preserve"> (</w:t>
      </w:r>
      <w:proofErr w:type="spellStart"/>
      <w:r w:rsidRPr="00006A07">
        <w:rPr>
          <w:i/>
          <w:iCs/>
          <w:lang w:val="bg-BG"/>
        </w:rPr>
        <w:t>Attorney</w:t>
      </w:r>
      <w:proofErr w:type="spellEnd"/>
      <w:r w:rsidRPr="00006A07">
        <w:rPr>
          <w:i/>
          <w:iCs/>
          <w:lang w:val="bg-BG"/>
        </w:rPr>
        <w:t xml:space="preserve"> General)</w:t>
      </w:r>
      <w:r w:rsidRPr="00006A07">
        <w:rPr>
          <w:lang w:val="bg-BG"/>
        </w:rPr>
        <w:t xml:space="preserve">, 2006 FC 933, Федералният съд на Канада разглежда жалби по решения, произнесени от канадските федерални органи по здравеопазване по горепосочените програми за специален достъп (вж. параграф </w:t>
      </w:r>
      <w:r w:rsidRPr="00006A07">
        <w:rPr>
          <w:lang w:val="bg-BG"/>
        </w:rPr>
        <w:fldChar w:fldCharType="begin"/>
      </w:r>
      <w:r w:rsidRPr="00006A07">
        <w:rPr>
          <w:lang w:val="bg-BG"/>
        </w:rPr>
        <w:instrText xml:space="preserve"> REF RCM_Canada_Food_and_Drug_Regulations \h </w:instrText>
      </w:r>
      <w:r w:rsidRPr="00006A07">
        <w:rPr>
          <w:lang w:val="bg-BG"/>
        </w:rPr>
      </w:r>
      <w:r w:rsidRPr="00006A07">
        <w:rPr>
          <w:lang w:val="bg-BG"/>
        </w:rPr>
        <w:fldChar w:fldCharType="separate"/>
      </w:r>
      <w:r w:rsidRPr="00006A07">
        <w:rPr>
          <w:noProof/>
          <w:lang w:val="bg-BG"/>
        </w:rPr>
        <w:t>57</w:t>
      </w:r>
      <w:r w:rsidRPr="00006A07">
        <w:rPr>
          <w:lang w:val="bg-BG"/>
        </w:rPr>
        <w:fldChar w:fldCharType="end"/>
      </w:r>
      <w:r w:rsidRPr="00006A07">
        <w:rPr>
          <w:lang w:val="bg-BG"/>
        </w:rPr>
        <w:t xml:space="preserve"> по-горе). Съдът приема, че при вземането на решение за ограничаване на достъпа до лекарства, които преди това са били предоставяни по програмата, властите не са успели да постигнат подходящ баланс, защото не са отдали дължимото внимание на хуманитарните съображения и съображенията за </w:t>
      </w:r>
      <w:proofErr w:type="spellStart"/>
      <w:r w:rsidRPr="00006A07">
        <w:rPr>
          <w:lang w:val="bg-BG"/>
        </w:rPr>
        <w:t>палиативна</w:t>
      </w:r>
      <w:proofErr w:type="spellEnd"/>
      <w:r w:rsidRPr="00006A07">
        <w:rPr>
          <w:lang w:val="bg-BG"/>
        </w:rPr>
        <w:t xml:space="preserve"> употреба. Той връща въпроса обратно на органите по здравеопазване с указания да преценят „валидните цели на обществената политика срещу хуманитарния фактор“. Решението не е обжалвано и през 2008 г. случаят е разрешен, като органите по здравеопазването се съгласяват да изпълнят препоръките на съда. </w:t>
      </w:r>
    </w:p>
    <w:p w:rsidR="0095532B" w:rsidRPr="00006A07" w:rsidRDefault="0095532B" w:rsidP="008D7A78">
      <w:pPr>
        <w:pStyle w:val="JuH1"/>
        <w:rPr>
          <w:lang w:val="bg-BG"/>
        </w:rPr>
      </w:pPr>
      <w:r w:rsidRPr="00006A07">
        <w:rPr>
          <w:lang w:val="bg-BG"/>
        </w:rPr>
        <w:t>3.  В Обединеното кралство</w:t>
      </w:r>
    </w:p>
    <w:bookmarkStart w:id="52" w:name="RCM_B_v_Cambridge_Health_Authority"/>
    <w:p w:rsidR="0095532B" w:rsidRPr="00006A07" w:rsidRDefault="0095532B" w:rsidP="008D7A78">
      <w:pPr>
        <w:pStyle w:val="JuPara"/>
        <w:rPr>
          <w:lang w:val="bg-BG"/>
        </w:rPr>
      </w:pPr>
      <w:r w:rsidRPr="00006A07">
        <w:rPr>
          <w:lang w:val="bg-BG"/>
        </w:rPr>
        <w:fldChar w:fldCharType="begin"/>
      </w:r>
      <w:r w:rsidRPr="00006A07">
        <w:rPr>
          <w:lang w:val="bg-BG"/>
        </w:rPr>
        <w:instrText xml:space="preserve"> SEQ level0 \*arabic </w:instrText>
      </w:r>
      <w:r w:rsidRPr="00006A07">
        <w:rPr>
          <w:lang w:val="bg-BG"/>
        </w:rPr>
        <w:fldChar w:fldCharType="separate"/>
      </w:r>
      <w:r w:rsidRPr="00006A07">
        <w:rPr>
          <w:noProof/>
          <w:lang w:val="bg-BG"/>
        </w:rPr>
        <w:t>66</w:t>
      </w:r>
      <w:r w:rsidRPr="00006A07">
        <w:rPr>
          <w:lang w:val="bg-BG"/>
        </w:rPr>
        <w:fldChar w:fldCharType="end"/>
      </w:r>
      <w:bookmarkEnd w:id="52"/>
      <w:r w:rsidRPr="00006A07">
        <w:rPr>
          <w:lang w:val="bg-BG"/>
        </w:rPr>
        <w:t xml:space="preserve">.  По делото </w:t>
      </w:r>
      <w:r w:rsidRPr="00006A07">
        <w:rPr>
          <w:i/>
          <w:iCs/>
          <w:lang w:val="bg-BG"/>
        </w:rPr>
        <w:t xml:space="preserve">B (малолетен), R. (по жалбата на) v. </w:t>
      </w:r>
      <w:proofErr w:type="spellStart"/>
      <w:r w:rsidRPr="00006A07">
        <w:rPr>
          <w:i/>
          <w:iCs/>
          <w:lang w:val="bg-BG"/>
        </w:rPr>
        <w:t>Cambridge</w:t>
      </w:r>
      <w:proofErr w:type="spellEnd"/>
      <w:r w:rsidRPr="00006A07">
        <w:rPr>
          <w:i/>
          <w:iCs/>
          <w:lang w:val="bg-BG"/>
        </w:rPr>
        <w:t xml:space="preserve"> Health </w:t>
      </w:r>
      <w:proofErr w:type="spellStart"/>
      <w:r w:rsidRPr="00006A07">
        <w:rPr>
          <w:i/>
          <w:iCs/>
          <w:lang w:val="bg-BG"/>
        </w:rPr>
        <w:t>Authority</w:t>
      </w:r>
      <w:proofErr w:type="spellEnd"/>
      <w:r w:rsidRPr="00006A07">
        <w:rPr>
          <w:lang w:val="bg-BG"/>
        </w:rPr>
        <w:t xml:space="preserve"> [1995] EWCA Civ 43 (10 Март 1995) Апелативният съд приема, че съдилищата не биха могли да преразгледат и поставят под въпрос надлежно обосновано решение на компетентните органи по здравеопазването да не финансират курс на експериментално лечение на терминално болно дете. Председателят на гражданската колегия на апелативния съд (какъвто е бил към тогавашния момент), сър Томас Бингам (</w:t>
      </w:r>
      <w:proofErr w:type="spellStart"/>
      <w:r w:rsidRPr="00006A07">
        <w:rPr>
          <w:lang w:val="bg-BG"/>
        </w:rPr>
        <w:t>Thomas</w:t>
      </w:r>
      <w:proofErr w:type="spellEnd"/>
      <w:r w:rsidRPr="00006A07">
        <w:rPr>
          <w:lang w:val="bg-BG"/>
        </w:rPr>
        <w:t xml:space="preserve"> </w:t>
      </w:r>
      <w:proofErr w:type="spellStart"/>
      <w:r w:rsidRPr="00006A07">
        <w:rPr>
          <w:lang w:val="bg-BG"/>
        </w:rPr>
        <w:t>Bingham</w:t>
      </w:r>
      <w:proofErr w:type="spellEnd"/>
      <w:r w:rsidRPr="00006A07">
        <w:rPr>
          <w:lang w:val="bg-BG"/>
        </w:rPr>
        <w:t xml:space="preserve">), прави два основни коментара. На първо място, той посочва, че делото се отнася до живота на млад пациент, като този факт трябва да има водещо значение при всички съображения по всички аспекти на случая, тъй като в британското общество човешкият живот се оценява изключително високо и всяко решение, което засяга човешкия живот, трябва да бъде разглеждано единствено с най-голямата възможна сериозност. На второ място, той отбелязва, че съдилищата не са арбитри по съществото на делата от този вид, защото, ако изразят мнение относно вероятността за ефективността на медицинско лечение, или по съществото на медицинско решение, те биха се отклонили в голяма степен от сферата на своята компетентност. Освен това той посочва, че трябва да бъдат взети трудни и мъчителни решения относно начина, по който един ограничен бюджет трябва да се разпредели в максимална полза на </w:t>
      </w:r>
      <w:r w:rsidRPr="00006A07">
        <w:rPr>
          <w:lang w:val="bg-BG"/>
        </w:rPr>
        <w:lastRenderedPageBreak/>
        <w:t>максимален брой пациенти. Това не е решение, което съдът може да вземе.</w:t>
      </w:r>
    </w:p>
    <w:bookmarkStart w:id="53" w:name="RCM_Simms_v_An_NHS_Trust"/>
    <w:p w:rsidR="0095532B" w:rsidRPr="00006A07" w:rsidRDefault="0095532B" w:rsidP="008D7A78">
      <w:pPr>
        <w:pStyle w:val="JuPara"/>
        <w:rPr>
          <w:lang w:val="bg-BG"/>
        </w:rPr>
      </w:pPr>
      <w:r w:rsidRPr="00006A07">
        <w:rPr>
          <w:lang w:val="bg-BG"/>
        </w:rPr>
        <w:fldChar w:fldCharType="begin"/>
      </w:r>
      <w:r w:rsidRPr="00006A07">
        <w:rPr>
          <w:lang w:val="bg-BG"/>
        </w:rPr>
        <w:instrText xml:space="preserve"> SEQ level0 \*arabic </w:instrText>
      </w:r>
      <w:r w:rsidRPr="00006A07">
        <w:rPr>
          <w:lang w:val="bg-BG"/>
        </w:rPr>
        <w:fldChar w:fldCharType="separate"/>
      </w:r>
      <w:r w:rsidRPr="00006A07">
        <w:rPr>
          <w:noProof/>
          <w:lang w:val="bg-BG"/>
        </w:rPr>
        <w:t>67</w:t>
      </w:r>
      <w:r w:rsidRPr="00006A07">
        <w:rPr>
          <w:lang w:val="bg-BG"/>
        </w:rPr>
        <w:fldChar w:fldCharType="end"/>
      </w:r>
      <w:bookmarkEnd w:id="53"/>
      <w:r w:rsidRPr="00006A07">
        <w:rPr>
          <w:lang w:val="bg-BG"/>
        </w:rPr>
        <w:t xml:space="preserve">.  По делото </w:t>
      </w:r>
      <w:proofErr w:type="spellStart"/>
      <w:r w:rsidRPr="00006A07">
        <w:rPr>
          <w:i/>
          <w:iCs/>
          <w:lang w:val="bg-BG"/>
        </w:rPr>
        <w:t>Simms</w:t>
      </w:r>
      <w:proofErr w:type="spellEnd"/>
      <w:r w:rsidRPr="00006A07">
        <w:rPr>
          <w:i/>
          <w:iCs/>
          <w:lang w:val="bg-BG"/>
        </w:rPr>
        <w:t xml:space="preserve"> v </w:t>
      </w:r>
      <w:proofErr w:type="spellStart"/>
      <w:r w:rsidRPr="00006A07">
        <w:rPr>
          <w:i/>
          <w:iCs/>
          <w:lang w:val="bg-BG"/>
        </w:rPr>
        <w:t>Simms</w:t>
      </w:r>
      <w:proofErr w:type="spellEnd"/>
      <w:r w:rsidRPr="00006A07">
        <w:rPr>
          <w:i/>
          <w:iCs/>
          <w:lang w:val="bg-BG"/>
        </w:rPr>
        <w:t xml:space="preserve"> </w:t>
      </w:r>
      <w:proofErr w:type="spellStart"/>
      <w:r w:rsidRPr="00006A07">
        <w:rPr>
          <w:i/>
          <w:iCs/>
          <w:lang w:val="bg-BG"/>
        </w:rPr>
        <w:t>and</w:t>
      </w:r>
      <w:proofErr w:type="spellEnd"/>
      <w:r w:rsidRPr="00006A07">
        <w:rPr>
          <w:i/>
          <w:iCs/>
          <w:lang w:val="bg-BG"/>
        </w:rPr>
        <w:t xml:space="preserve"> </w:t>
      </w:r>
      <w:proofErr w:type="spellStart"/>
      <w:r w:rsidRPr="00006A07">
        <w:rPr>
          <w:i/>
          <w:iCs/>
          <w:lang w:val="bg-BG"/>
        </w:rPr>
        <w:t>an</w:t>
      </w:r>
      <w:proofErr w:type="spellEnd"/>
      <w:r w:rsidRPr="00006A07">
        <w:rPr>
          <w:i/>
          <w:iCs/>
          <w:lang w:val="bg-BG"/>
        </w:rPr>
        <w:t xml:space="preserve"> NHS </w:t>
      </w:r>
      <w:proofErr w:type="spellStart"/>
      <w:r w:rsidRPr="00006A07">
        <w:rPr>
          <w:i/>
          <w:iCs/>
          <w:lang w:val="bg-BG"/>
        </w:rPr>
        <w:t>Trust</w:t>
      </w:r>
      <w:proofErr w:type="spellEnd"/>
      <w:r w:rsidRPr="00006A07">
        <w:rPr>
          <w:lang w:val="bg-BG"/>
        </w:rPr>
        <w:t xml:space="preserve"> [2002] EWHC 2734 (</w:t>
      </w:r>
      <w:proofErr w:type="spellStart"/>
      <w:r w:rsidRPr="00006A07">
        <w:rPr>
          <w:lang w:val="bg-BG"/>
        </w:rPr>
        <w:t>Fam</w:t>
      </w:r>
      <w:proofErr w:type="spellEnd"/>
      <w:r w:rsidRPr="00006A07">
        <w:rPr>
          <w:lang w:val="bg-BG"/>
        </w:rPr>
        <w:t xml:space="preserve">) (11 декември 2002 г.), родителите на двама тийнейджъри, страдащи от болестта на </w:t>
      </w:r>
      <w:proofErr w:type="spellStart"/>
      <w:r w:rsidRPr="00006A07">
        <w:rPr>
          <w:lang w:val="bg-BG"/>
        </w:rPr>
        <w:t>Кройцфелд-Якоб</w:t>
      </w:r>
      <w:proofErr w:type="spellEnd"/>
      <w:r w:rsidRPr="00006A07">
        <w:rPr>
          <w:lang w:val="bg-BG"/>
        </w:rPr>
        <w:t xml:space="preserve">, се стремят да получат съдебни декларации, че децата им могат да получат експериментално лечение, което при изследвания на мишки е показало, че е възможно да забави напредването на терминалното им състояние. Върховният съд (Семейна колегия) удовлетворява жалбите, като посочва, наред с другото, че липсата на алтернативно лечение за нелечими болести означава, че е оправдано да се използва експериментално лечение, което не съставлява значителен риск за пациента. Председателят на семейната колегия, лейди Елизабет </w:t>
      </w:r>
      <w:proofErr w:type="spellStart"/>
      <w:r w:rsidRPr="00006A07">
        <w:rPr>
          <w:lang w:val="bg-BG"/>
        </w:rPr>
        <w:t>Бътлър-Слос</w:t>
      </w:r>
      <w:proofErr w:type="spellEnd"/>
      <w:r w:rsidRPr="00006A07">
        <w:rPr>
          <w:lang w:val="bg-BG"/>
        </w:rPr>
        <w:t xml:space="preserve"> (</w:t>
      </w:r>
      <w:proofErr w:type="spellStart"/>
      <w:r w:rsidRPr="00006A07">
        <w:rPr>
          <w:lang w:val="bg-BG"/>
        </w:rPr>
        <w:t>Elizabeth</w:t>
      </w:r>
      <w:proofErr w:type="spellEnd"/>
      <w:r w:rsidRPr="00006A07">
        <w:rPr>
          <w:lang w:val="bg-BG"/>
        </w:rPr>
        <w:t xml:space="preserve"> </w:t>
      </w:r>
      <w:proofErr w:type="spellStart"/>
      <w:r w:rsidRPr="00006A07">
        <w:rPr>
          <w:lang w:val="bg-BG"/>
        </w:rPr>
        <w:t>Butler</w:t>
      </w:r>
      <w:r>
        <w:rPr>
          <w:lang w:val="bg-BG"/>
        </w:rPr>
        <w:t>-</w:t>
      </w:r>
      <w:r w:rsidRPr="00006A07">
        <w:rPr>
          <w:lang w:val="bg-BG"/>
        </w:rPr>
        <w:t>Sloss</w:t>
      </w:r>
      <w:proofErr w:type="spellEnd"/>
      <w:r w:rsidRPr="00006A07">
        <w:rPr>
          <w:lang w:val="bg-BG"/>
        </w:rPr>
        <w:t xml:space="preserve">), посочва, че лечението не е изпробвано и че към момента няма потвърждение на експерименталната работа, проведена в чужбина. Въпреки това тя посочва, че никога нямаше да бъдат направени опити в иновативни действия като употребата на пеницилин или извършването на сърдечна трансплантация, ако се чакаше пълна сигурност на експерименталните лечения. Като се позовава, </w:t>
      </w:r>
      <w:r w:rsidRPr="00006A07">
        <w:rPr>
          <w:iCs/>
          <w:lang w:val="bg-BG"/>
        </w:rPr>
        <w:t>наред с другото</w:t>
      </w:r>
      <w:r w:rsidRPr="00006A07">
        <w:rPr>
          <w:lang w:val="bg-BG"/>
        </w:rPr>
        <w:t>, на членове 2 и 8 от Конвенцията и на „много силна презумпция в полза на курса на действие, който удължава живота“ и като има предвид изгледите за пациента със и без лечение, както и факта, че не съществува алтернативно лечение, тя заключава, че е в техен най-добър интерес лечението да бъде проведено. При това заключение тя взема предвид също така желанията и чувствата на семействата, като намира, че тяхната позиция в полза на лечението „следва да има значителна тежест“.</w:t>
      </w:r>
    </w:p>
    <w:p w:rsidR="0095532B" w:rsidRPr="00006A07" w:rsidRDefault="0095532B" w:rsidP="008D7A78">
      <w:pPr>
        <w:pStyle w:val="JuHHead"/>
        <w:rPr>
          <w:lang w:val="bg-BG"/>
        </w:rPr>
      </w:pPr>
      <w:r w:rsidRPr="00006A07">
        <w:rPr>
          <w:lang w:val="bg-BG"/>
        </w:rPr>
        <w:t>ПРАВНИ ИЗВОДИ</w:t>
      </w:r>
    </w:p>
    <w:p w:rsidR="0095532B" w:rsidRPr="00006A07" w:rsidRDefault="0095532B" w:rsidP="008D7A78">
      <w:pPr>
        <w:pStyle w:val="JuHIRoman"/>
        <w:rPr>
          <w:lang w:val="bg-BG"/>
        </w:rPr>
      </w:pPr>
      <w:r w:rsidRPr="00006A07">
        <w:rPr>
          <w:lang w:val="bg-BG"/>
        </w:rPr>
        <w:t xml:space="preserve">I.  ПРЕДВАРИТЕЛЕН ВЪПРОС </w:t>
      </w:r>
    </w:p>
    <w:p w:rsidR="0095532B" w:rsidRPr="00006A07" w:rsidRDefault="0095532B" w:rsidP="008D7A78">
      <w:pPr>
        <w:pStyle w:val="JuPara"/>
        <w:rPr>
          <w:lang w:val="bg-BG"/>
        </w:rPr>
      </w:pPr>
      <w:r w:rsidRPr="00006A07">
        <w:rPr>
          <w:lang w:val="bg-BG"/>
        </w:rPr>
        <w:fldChar w:fldCharType="begin"/>
      </w:r>
      <w:r w:rsidRPr="00006A07">
        <w:rPr>
          <w:lang w:val="bg-BG"/>
        </w:rPr>
        <w:instrText xml:space="preserve"> SEQ level0 \*arabic </w:instrText>
      </w:r>
      <w:r w:rsidRPr="00006A07">
        <w:rPr>
          <w:lang w:val="bg-BG"/>
        </w:rPr>
        <w:fldChar w:fldCharType="separate"/>
      </w:r>
      <w:r w:rsidRPr="00006A07">
        <w:rPr>
          <w:noProof/>
          <w:lang w:val="bg-BG"/>
        </w:rPr>
        <w:t>68</w:t>
      </w:r>
      <w:r w:rsidRPr="00006A07">
        <w:rPr>
          <w:lang w:val="bg-BG"/>
        </w:rPr>
        <w:fldChar w:fldCharType="end"/>
      </w:r>
      <w:r w:rsidRPr="00006A07">
        <w:rPr>
          <w:lang w:val="bg-BG"/>
        </w:rPr>
        <w:t xml:space="preserve">.  Правителството иска жалбите да бъдат частично заличени от списъка на делата в съответствие с член 37 § 1 (c) от Конвенцията, като оспорва правото на наследниците на четирима от жалбоподателите, които умират в хода на производството (г-н Христозов, г-н Петров, г-жа Пенчева и г-н Бехар – вж. параграф </w:t>
      </w:r>
      <w:r w:rsidRPr="00006A07">
        <w:rPr>
          <w:lang w:val="bg-BG"/>
        </w:rPr>
        <w:fldChar w:fldCharType="begin"/>
      </w:r>
      <w:r w:rsidRPr="00006A07">
        <w:rPr>
          <w:lang w:val="bg-BG"/>
        </w:rPr>
        <w:instrText xml:space="preserve"> REF P_applicants_heirs \h </w:instrText>
      </w:r>
      <w:r w:rsidRPr="00006A07">
        <w:rPr>
          <w:lang w:val="bg-BG"/>
        </w:rPr>
      </w:r>
      <w:r w:rsidRPr="00006A07">
        <w:rPr>
          <w:lang w:val="bg-BG"/>
        </w:rPr>
        <w:fldChar w:fldCharType="separate"/>
      </w:r>
      <w:r w:rsidRPr="00006A07">
        <w:rPr>
          <w:noProof/>
          <w:lang w:val="bg-BG"/>
        </w:rPr>
        <w:t>4</w:t>
      </w:r>
      <w:r w:rsidRPr="00006A07">
        <w:rPr>
          <w:lang w:val="bg-BG"/>
        </w:rPr>
        <w:fldChar w:fldCharType="end"/>
      </w:r>
      <w:r w:rsidRPr="00006A07">
        <w:rPr>
          <w:lang w:val="bg-BG"/>
        </w:rPr>
        <w:t xml:space="preserve"> по-горе), да водят жалбите вместо тях. Според Правителството тези наследници не биха могли да претендират, че са непреки жертви и нямат валиден интерес да получат произнасяне от Съда, защото твърдените нарушения на членове 2, 3 и 8 от Конвенцията не ги засягат поради две причини. Първо, отказът на властите да позволят на жалбоподателите достъп до неразрешен за </w:t>
      </w:r>
      <w:r w:rsidRPr="00006A07">
        <w:rPr>
          <w:lang w:val="bg-BG"/>
        </w:rPr>
        <w:lastRenderedPageBreak/>
        <w:t xml:space="preserve">употреба лекарствен продукт, който те са искали да им бъде приложен, не е засегнал други лица, например техните наследници. На второ място, правата, на които се позовават жалбоподателите, имат дълбоко личен характер. Освен това, не е задача на Съда да определя по принцип дали разпоредбите на </w:t>
      </w:r>
      <w:proofErr w:type="spellStart"/>
      <w:r w:rsidRPr="00006A07">
        <w:rPr>
          <w:lang w:val="bg-BG"/>
        </w:rPr>
        <w:t>относимото</w:t>
      </w:r>
      <w:proofErr w:type="spellEnd"/>
      <w:r w:rsidRPr="00006A07">
        <w:rPr>
          <w:lang w:val="bg-BG"/>
        </w:rPr>
        <w:t xml:space="preserve"> национално право са в съответствие с Конвенцията.</w:t>
      </w:r>
    </w:p>
    <w:p w:rsidR="0095532B" w:rsidRPr="00006A07" w:rsidRDefault="0095532B" w:rsidP="008D7A78">
      <w:pPr>
        <w:pStyle w:val="JuPara"/>
        <w:rPr>
          <w:lang w:val="bg-BG"/>
        </w:rPr>
      </w:pPr>
      <w:r w:rsidRPr="00006A07">
        <w:rPr>
          <w:lang w:val="bg-BG"/>
        </w:rPr>
        <w:fldChar w:fldCharType="begin"/>
      </w:r>
      <w:r w:rsidRPr="00006A07">
        <w:rPr>
          <w:lang w:val="bg-BG"/>
        </w:rPr>
        <w:instrText xml:space="preserve"> SEQ level0 \*arabic </w:instrText>
      </w:r>
      <w:r w:rsidRPr="00006A07">
        <w:rPr>
          <w:lang w:val="bg-BG"/>
        </w:rPr>
        <w:fldChar w:fldCharType="separate"/>
      </w:r>
      <w:r w:rsidRPr="00006A07">
        <w:rPr>
          <w:noProof/>
          <w:lang w:val="bg-BG"/>
        </w:rPr>
        <w:t>69</w:t>
      </w:r>
      <w:r w:rsidRPr="00006A07">
        <w:rPr>
          <w:lang w:val="bg-BG"/>
        </w:rPr>
        <w:fldChar w:fldCharType="end"/>
      </w:r>
      <w:r w:rsidRPr="00006A07">
        <w:rPr>
          <w:lang w:val="bg-BG"/>
        </w:rPr>
        <w:t>.  Жалбоподателите не коментират този въпрос.</w:t>
      </w:r>
    </w:p>
    <w:p w:rsidR="0095532B" w:rsidRPr="00006A07" w:rsidRDefault="0095532B" w:rsidP="008D7A78">
      <w:pPr>
        <w:pStyle w:val="JuPara"/>
        <w:rPr>
          <w:lang w:val="bg-BG"/>
        </w:rPr>
      </w:pPr>
      <w:r w:rsidRPr="00006A07">
        <w:rPr>
          <w:lang w:val="bg-BG"/>
        </w:rPr>
        <w:fldChar w:fldCharType="begin"/>
      </w:r>
      <w:r w:rsidRPr="00006A07">
        <w:rPr>
          <w:lang w:val="bg-BG"/>
        </w:rPr>
        <w:instrText xml:space="preserve"> SEQ level0 \*arabic </w:instrText>
      </w:r>
      <w:r w:rsidRPr="00006A07">
        <w:rPr>
          <w:lang w:val="bg-BG"/>
        </w:rPr>
        <w:fldChar w:fldCharType="separate"/>
      </w:r>
      <w:r w:rsidRPr="00006A07">
        <w:rPr>
          <w:noProof/>
          <w:lang w:val="bg-BG"/>
        </w:rPr>
        <w:t>70</w:t>
      </w:r>
      <w:r w:rsidRPr="00006A07">
        <w:rPr>
          <w:lang w:val="bg-BG"/>
        </w:rPr>
        <w:fldChar w:fldCharType="end"/>
      </w:r>
      <w:r w:rsidRPr="00006A07">
        <w:rPr>
          <w:lang w:val="bg-BG"/>
        </w:rPr>
        <w:t>.  Член 37 § 1 от Конвенцията предвижда, в релевантната си част:</w:t>
      </w:r>
    </w:p>
    <w:p w:rsidR="0095532B" w:rsidRPr="00006A07" w:rsidRDefault="0095532B" w:rsidP="008D7A78">
      <w:pPr>
        <w:pStyle w:val="JuQuot"/>
        <w:rPr>
          <w:lang w:val="bg-BG"/>
        </w:rPr>
      </w:pPr>
      <w:r w:rsidRPr="00006A07">
        <w:rPr>
          <w:lang w:val="bg-BG"/>
        </w:rPr>
        <w:t>„На всеки етап от производството Съдът може да реши да заличи дадена жалба от списъка на делата, ако обстоятелствата дават основание да се счита, че:</w:t>
      </w:r>
    </w:p>
    <w:p w:rsidR="0095532B" w:rsidRPr="00006A07" w:rsidRDefault="0095532B" w:rsidP="008D7A78">
      <w:pPr>
        <w:pStyle w:val="JuQuot"/>
        <w:rPr>
          <w:lang w:val="bg-BG"/>
        </w:rPr>
      </w:pPr>
      <w:r w:rsidRPr="00006A07">
        <w:rPr>
          <w:lang w:val="bg-BG"/>
        </w:rPr>
        <w:t>...</w:t>
      </w:r>
    </w:p>
    <w:p w:rsidR="0095532B" w:rsidRPr="00006A07" w:rsidRDefault="0095532B" w:rsidP="008D7A78">
      <w:pPr>
        <w:pStyle w:val="JuQuot"/>
        <w:rPr>
          <w:lang w:val="bg-BG"/>
        </w:rPr>
      </w:pPr>
      <w:r w:rsidRPr="00006A07">
        <w:rPr>
          <w:lang w:val="bg-BG"/>
        </w:rPr>
        <w:t>(c)  по всяка друга причина, установена от Съда, по-нататъшното разглеждане на жалбата е неоправдано.</w:t>
      </w:r>
    </w:p>
    <w:p w:rsidR="0095532B" w:rsidRPr="00006A07" w:rsidRDefault="0095532B" w:rsidP="008D7A78">
      <w:pPr>
        <w:pStyle w:val="JuQuot"/>
        <w:rPr>
          <w:lang w:val="bg-BG"/>
        </w:rPr>
      </w:pPr>
      <w:r w:rsidRPr="00006A07">
        <w:rPr>
          <w:lang w:val="bg-BG"/>
        </w:rPr>
        <w:t>Съдът обаче продължава разглеждането на жалбата, ако зачитането на правата на човека, защитени в Конвенцията и Протоколите към нея налага това.“</w:t>
      </w:r>
    </w:p>
    <w:bookmarkStart w:id="54" w:name="L_A_37_1"/>
    <w:p w:rsidR="0095532B" w:rsidRPr="00006A07" w:rsidRDefault="0095532B" w:rsidP="008D7A78">
      <w:pPr>
        <w:pStyle w:val="JuPara"/>
        <w:rPr>
          <w:lang w:val="bg-BG"/>
        </w:rPr>
      </w:pPr>
      <w:r w:rsidRPr="00006A07">
        <w:rPr>
          <w:lang w:val="bg-BG"/>
        </w:rPr>
        <w:fldChar w:fldCharType="begin"/>
      </w:r>
      <w:r w:rsidRPr="00006A07">
        <w:rPr>
          <w:lang w:val="bg-BG"/>
        </w:rPr>
        <w:instrText xml:space="preserve"> SEQ level0 \*arabic </w:instrText>
      </w:r>
      <w:r w:rsidRPr="00006A07">
        <w:rPr>
          <w:lang w:val="bg-BG"/>
        </w:rPr>
        <w:fldChar w:fldCharType="separate"/>
      </w:r>
      <w:r w:rsidRPr="00006A07">
        <w:rPr>
          <w:noProof/>
          <w:lang w:val="bg-BG"/>
        </w:rPr>
        <w:t>71</w:t>
      </w:r>
      <w:r w:rsidRPr="00006A07">
        <w:rPr>
          <w:lang w:val="bg-BG"/>
        </w:rPr>
        <w:fldChar w:fldCharType="end"/>
      </w:r>
      <w:bookmarkEnd w:id="54"/>
      <w:r w:rsidRPr="00006A07">
        <w:rPr>
          <w:lang w:val="bg-BG"/>
        </w:rPr>
        <w:t xml:space="preserve">.  По много дела, по които жалбоподателите са починали в хода на производството, Съдът взема предвид изявленията на техните наследници или близки членове на семейството, които изразяват желание да продължат воденето на производството, или наличието на легитимен интерес, </w:t>
      </w:r>
      <w:proofErr w:type="spellStart"/>
      <w:r w:rsidRPr="00006A07">
        <w:rPr>
          <w:lang w:val="bg-BG"/>
        </w:rPr>
        <w:t>претендиран</w:t>
      </w:r>
      <w:proofErr w:type="spellEnd"/>
      <w:r w:rsidRPr="00006A07">
        <w:rPr>
          <w:lang w:val="bg-BG"/>
        </w:rPr>
        <w:t xml:space="preserve"> от друго лице, което желае да води жалбата (вж. например </w:t>
      </w:r>
      <w:r w:rsidRPr="00006A07">
        <w:rPr>
          <w:i/>
          <w:iCs/>
          <w:lang w:val="bg-BG"/>
        </w:rPr>
        <w:t xml:space="preserve">X v. </w:t>
      </w:r>
      <w:proofErr w:type="spellStart"/>
      <w:r w:rsidRPr="00006A07">
        <w:rPr>
          <w:i/>
          <w:iCs/>
          <w:lang w:val="bg-BG"/>
        </w:rPr>
        <w:t>France</w:t>
      </w:r>
      <w:proofErr w:type="spellEnd"/>
      <w:r w:rsidRPr="00006A07">
        <w:rPr>
          <w:lang w:val="bg-BG"/>
        </w:rPr>
        <w:t xml:space="preserve">, 31 март 1992 г., § 26, </w:t>
      </w:r>
      <w:proofErr w:type="spellStart"/>
      <w:r w:rsidRPr="00006A07">
        <w:rPr>
          <w:lang w:val="bg-BG"/>
        </w:rPr>
        <w:t>Series</w:t>
      </w:r>
      <w:proofErr w:type="spellEnd"/>
      <w:r w:rsidRPr="00006A07">
        <w:rPr>
          <w:lang w:val="bg-BG"/>
        </w:rPr>
        <w:t xml:space="preserve"> A </w:t>
      </w:r>
      <w:proofErr w:type="spellStart"/>
      <w:r w:rsidRPr="00006A07">
        <w:rPr>
          <w:lang w:val="bg-BG"/>
        </w:rPr>
        <w:t>No</w:t>
      </w:r>
      <w:proofErr w:type="spellEnd"/>
      <w:r w:rsidRPr="00006A07">
        <w:rPr>
          <w:lang w:val="bg-BG"/>
        </w:rPr>
        <w:t>. 234</w:t>
      </w:r>
      <w:r w:rsidRPr="00006A07">
        <w:rPr>
          <w:lang w:val="bg-BG"/>
        </w:rPr>
        <w:noBreakHyphen/>
        <w:t xml:space="preserve">C; </w:t>
      </w:r>
      <w:proofErr w:type="spellStart"/>
      <w:r w:rsidRPr="00006A07">
        <w:rPr>
          <w:i/>
          <w:iCs/>
          <w:lang w:val="bg-BG" w:eastAsia="en-US"/>
        </w:rPr>
        <w:t>Lukanov</w:t>
      </w:r>
      <w:proofErr w:type="spellEnd"/>
      <w:r w:rsidRPr="00006A07">
        <w:rPr>
          <w:i/>
          <w:iCs/>
          <w:lang w:val="bg-BG" w:eastAsia="en-US"/>
        </w:rPr>
        <w:t xml:space="preserve"> v. </w:t>
      </w:r>
      <w:proofErr w:type="spellStart"/>
      <w:r w:rsidRPr="00006A07">
        <w:rPr>
          <w:i/>
          <w:iCs/>
          <w:lang w:val="bg-BG" w:eastAsia="en-US"/>
        </w:rPr>
        <w:t>Bulgaria</w:t>
      </w:r>
      <w:proofErr w:type="spellEnd"/>
      <w:r w:rsidRPr="00006A07">
        <w:rPr>
          <w:lang w:val="bg-BG" w:eastAsia="en-US"/>
        </w:rPr>
        <w:t xml:space="preserve">, 20 март 1997, § 35, </w:t>
      </w:r>
      <w:proofErr w:type="spellStart"/>
      <w:r w:rsidRPr="00006A07">
        <w:rPr>
          <w:i/>
          <w:iCs/>
          <w:lang w:val="bg-BG" w:eastAsia="en-US"/>
        </w:rPr>
        <w:t>Reports</w:t>
      </w:r>
      <w:proofErr w:type="spellEnd"/>
      <w:r w:rsidRPr="00006A07">
        <w:rPr>
          <w:i/>
          <w:iCs/>
          <w:lang w:val="bg-BG" w:eastAsia="en-US"/>
        </w:rPr>
        <w:t xml:space="preserve"> </w:t>
      </w:r>
      <w:r w:rsidRPr="00006A07">
        <w:rPr>
          <w:lang w:val="bg-BG" w:eastAsia="en-US"/>
        </w:rPr>
        <w:t>1997</w:t>
      </w:r>
      <w:r w:rsidRPr="00006A07">
        <w:rPr>
          <w:lang w:val="bg-BG" w:eastAsia="en-US"/>
        </w:rPr>
        <w:noBreakHyphen/>
        <w:t xml:space="preserve">II; и </w:t>
      </w:r>
      <w:proofErr w:type="spellStart"/>
      <w:r w:rsidRPr="00006A07">
        <w:rPr>
          <w:i/>
          <w:iCs/>
          <w:lang w:val="bg-BG" w:eastAsia="en-US"/>
        </w:rPr>
        <w:t>Malhous</w:t>
      </w:r>
      <w:proofErr w:type="spellEnd"/>
      <w:r w:rsidRPr="00006A07">
        <w:rPr>
          <w:i/>
          <w:iCs/>
          <w:lang w:val="bg-BG" w:eastAsia="en-US"/>
        </w:rPr>
        <w:t xml:space="preserve"> v. </w:t>
      </w:r>
      <w:proofErr w:type="spellStart"/>
      <w:r w:rsidRPr="00006A07">
        <w:rPr>
          <w:i/>
          <w:iCs/>
          <w:lang w:val="bg-BG" w:eastAsia="en-US"/>
        </w:rPr>
        <w:t>the</w:t>
      </w:r>
      <w:proofErr w:type="spellEnd"/>
      <w:r w:rsidRPr="00006A07">
        <w:rPr>
          <w:i/>
          <w:iCs/>
          <w:lang w:val="bg-BG" w:eastAsia="en-US"/>
        </w:rPr>
        <w:t xml:space="preserve"> </w:t>
      </w:r>
      <w:proofErr w:type="spellStart"/>
      <w:r w:rsidRPr="00006A07">
        <w:rPr>
          <w:i/>
          <w:iCs/>
          <w:lang w:val="bg-BG" w:eastAsia="en-US"/>
        </w:rPr>
        <w:t>Czech</w:t>
      </w:r>
      <w:proofErr w:type="spellEnd"/>
      <w:r w:rsidRPr="00006A07">
        <w:rPr>
          <w:i/>
          <w:iCs/>
          <w:lang w:val="bg-BG" w:eastAsia="en-US"/>
        </w:rPr>
        <w:t xml:space="preserve"> Republic </w:t>
      </w:r>
      <w:r w:rsidRPr="00006A07">
        <w:rPr>
          <w:lang w:val="bg-BG" w:eastAsia="en-US"/>
        </w:rPr>
        <w:t>(</w:t>
      </w:r>
      <w:proofErr w:type="spellStart"/>
      <w:r w:rsidRPr="00006A07">
        <w:rPr>
          <w:lang w:val="bg-BG" w:eastAsia="en-US"/>
        </w:rPr>
        <w:t>dec</w:t>
      </w:r>
      <w:proofErr w:type="spellEnd"/>
      <w:r w:rsidRPr="00006A07">
        <w:rPr>
          <w:lang w:val="bg-BG" w:eastAsia="en-US"/>
        </w:rPr>
        <w:t xml:space="preserve">.) [GC], </w:t>
      </w:r>
      <w:proofErr w:type="spellStart"/>
      <w:r w:rsidRPr="00006A07">
        <w:rPr>
          <w:lang w:val="bg-BG" w:eastAsia="en-US"/>
        </w:rPr>
        <w:t>No</w:t>
      </w:r>
      <w:proofErr w:type="spellEnd"/>
      <w:r w:rsidRPr="00006A07">
        <w:rPr>
          <w:lang w:val="bg-BG" w:eastAsia="en-US"/>
        </w:rPr>
        <w:t>. 33071/96, ECHR 2000</w:t>
      </w:r>
      <w:r w:rsidRPr="00006A07">
        <w:rPr>
          <w:lang w:val="bg-BG" w:eastAsia="en-US"/>
        </w:rPr>
        <w:noBreakHyphen/>
        <w:t xml:space="preserve">XII, с </w:t>
      </w:r>
      <w:proofErr w:type="spellStart"/>
      <w:r w:rsidRPr="00006A07">
        <w:rPr>
          <w:lang w:val="bg-BG" w:eastAsia="en-US"/>
        </w:rPr>
        <w:t>последващи</w:t>
      </w:r>
      <w:proofErr w:type="spellEnd"/>
      <w:r w:rsidRPr="00006A07">
        <w:rPr>
          <w:lang w:val="bg-BG" w:eastAsia="en-US"/>
        </w:rPr>
        <w:t xml:space="preserve"> препратки</w:t>
      </w:r>
      <w:r w:rsidRPr="00006A07">
        <w:rPr>
          <w:lang w:val="bg-BG"/>
        </w:rPr>
        <w:t xml:space="preserve">). От друга страна Съдът и предишната Комисия са заличили жалби от своите списъци в ситуации, при които жалбоподателите са умирали в хода на производството и или никой не се е явявал с желание да продължи разглеждането на жалбата (вж. например </w:t>
      </w:r>
      <w:proofErr w:type="spellStart"/>
      <w:r w:rsidRPr="00006A07">
        <w:rPr>
          <w:i/>
          <w:iCs/>
          <w:lang w:val="bg-BG"/>
        </w:rPr>
        <w:t>Öhlinger</w:t>
      </w:r>
      <w:proofErr w:type="spellEnd"/>
      <w:r w:rsidRPr="00006A07">
        <w:rPr>
          <w:i/>
          <w:iCs/>
          <w:lang w:val="bg-BG"/>
        </w:rPr>
        <w:t xml:space="preserve"> v. </w:t>
      </w:r>
      <w:proofErr w:type="spellStart"/>
      <w:r w:rsidRPr="00006A07">
        <w:rPr>
          <w:i/>
          <w:iCs/>
          <w:lang w:val="bg-BG"/>
        </w:rPr>
        <w:t>Austria</w:t>
      </w:r>
      <w:proofErr w:type="spellEnd"/>
      <w:r w:rsidRPr="00006A07">
        <w:rPr>
          <w:lang w:val="bg-BG"/>
        </w:rPr>
        <w:t xml:space="preserve">, </w:t>
      </w:r>
      <w:proofErr w:type="spellStart"/>
      <w:r w:rsidRPr="00006A07">
        <w:rPr>
          <w:lang w:val="bg-BG"/>
        </w:rPr>
        <w:t>No</w:t>
      </w:r>
      <w:proofErr w:type="spellEnd"/>
      <w:r w:rsidRPr="00006A07">
        <w:rPr>
          <w:lang w:val="bg-BG"/>
        </w:rPr>
        <w:t xml:space="preserve">. 21444/93, </w:t>
      </w:r>
      <w:proofErr w:type="spellStart"/>
      <w:r w:rsidRPr="00006A07">
        <w:rPr>
          <w:lang w:val="bg-BG"/>
        </w:rPr>
        <w:t>Commission’s</w:t>
      </w:r>
      <w:proofErr w:type="spellEnd"/>
      <w:r w:rsidRPr="00006A07">
        <w:rPr>
          <w:lang w:val="bg-BG"/>
        </w:rPr>
        <w:t xml:space="preserve"> </w:t>
      </w:r>
      <w:proofErr w:type="spellStart"/>
      <w:r w:rsidRPr="00006A07">
        <w:rPr>
          <w:lang w:val="bg-BG"/>
        </w:rPr>
        <w:t>report</w:t>
      </w:r>
      <w:proofErr w:type="spellEnd"/>
      <w:r w:rsidRPr="00006A07">
        <w:rPr>
          <w:lang w:val="bg-BG"/>
        </w:rPr>
        <w:t xml:space="preserve"> of 14 януари 1997 г., недокладвано, § 15; </w:t>
      </w:r>
      <w:proofErr w:type="spellStart"/>
      <w:r w:rsidRPr="00006A07">
        <w:rPr>
          <w:i/>
          <w:iCs/>
          <w:lang w:val="bg-BG"/>
        </w:rPr>
        <w:t>Ibish</w:t>
      </w:r>
      <w:proofErr w:type="spellEnd"/>
      <w:r w:rsidRPr="00006A07">
        <w:rPr>
          <w:i/>
          <w:iCs/>
          <w:lang w:val="bg-BG"/>
        </w:rPr>
        <w:t xml:space="preserve"> v. </w:t>
      </w:r>
      <w:proofErr w:type="spellStart"/>
      <w:r w:rsidRPr="00006A07">
        <w:rPr>
          <w:i/>
          <w:iCs/>
          <w:lang w:val="bg-BG"/>
        </w:rPr>
        <w:t>Bulgaria</w:t>
      </w:r>
      <w:proofErr w:type="spellEnd"/>
      <w:r w:rsidRPr="00006A07">
        <w:rPr>
          <w:lang w:val="bg-BG"/>
        </w:rPr>
        <w:t xml:space="preserve"> (</w:t>
      </w:r>
      <w:proofErr w:type="spellStart"/>
      <w:r w:rsidRPr="00006A07">
        <w:rPr>
          <w:lang w:val="bg-BG"/>
        </w:rPr>
        <w:t>dec</w:t>
      </w:r>
      <w:proofErr w:type="spellEnd"/>
      <w:r w:rsidRPr="00006A07">
        <w:rPr>
          <w:lang w:val="bg-BG"/>
        </w:rPr>
        <w:t xml:space="preserve">.), </w:t>
      </w:r>
      <w:proofErr w:type="spellStart"/>
      <w:r w:rsidRPr="00006A07">
        <w:rPr>
          <w:lang w:val="bg-BG"/>
        </w:rPr>
        <w:t>No</w:t>
      </w:r>
      <w:proofErr w:type="spellEnd"/>
      <w:r w:rsidRPr="00006A07">
        <w:rPr>
          <w:lang w:val="bg-BG"/>
        </w:rPr>
        <w:t xml:space="preserve">. 29893/06, 31 януари 2011 г.; и </w:t>
      </w:r>
      <w:proofErr w:type="spellStart"/>
      <w:r w:rsidRPr="00006A07">
        <w:rPr>
          <w:i/>
          <w:iCs/>
          <w:lang w:val="bg-BG"/>
        </w:rPr>
        <w:t>Korzhenevich</w:t>
      </w:r>
      <w:proofErr w:type="spellEnd"/>
      <w:r w:rsidRPr="00006A07">
        <w:rPr>
          <w:i/>
          <w:iCs/>
          <w:lang w:val="bg-BG"/>
        </w:rPr>
        <w:t xml:space="preserve"> v. </w:t>
      </w:r>
      <w:proofErr w:type="spellStart"/>
      <w:r w:rsidRPr="00006A07">
        <w:rPr>
          <w:i/>
          <w:iCs/>
          <w:lang w:val="bg-BG"/>
        </w:rPr>
        <w:t>Russia</w:t>
      </w:r>
      <w:proofErr w:type="spellEnd"/>
      <w:r w:rsidRPr="00006A07">
        <w:rPr>
          <w:lang w:val="bg-BG"/>
        </w:rPr>
        <w:t xml:space="preserve"> (</w:t>
      </w:r>
      <w:proofErr w:type="spellStart"/>
      <w:r w:rsidRPr="00006A07">
        <w:rPr>
          <w:lang w:val="bg-BG"/>
        </w:rPr>
        <w:t>dec</w:t>
      </w:r>
      <w:proofErr w:type="spellEnd"/>
      <w:r w:rsidRPr="00006A07">
        <w:rPr>
          <w:lang w:val="bg-BG"/>
        </w:rPr>
        <w:t xml:space="preserve">.), </w:t>
      </w:r>
      <w:proofErr w:type="spellStart"/>
      <w:r w:rsidRPr="00006A07">
        <w:rPr>
          <w:lang w:val="bg-BG"/>
        </w:rPr>
        <w:t>No</w:t>
      </w:r>
      <w:proofErr w:type="spellEnd"/>
      <w:r w:rsidRPr="00006A07">
        <w:rPr>
          <w:lang w:val="bg-BG"/>
        </w:rPr>
        <w:t xml:space="preserve">. 36799/05, 28 Юни 2011 г.), или лицата, които са изразявали такова желание не са били техни наследници или достатъчно близки роднини и не са можели да покажат по друг начин легитимен интерес за водене на жалбата (вж. </w:t>
      </w:r>
      <w:proofErr w:type="spellStart"/>
      <w:r w:rsidRPr="00006A07">
        <w:rPr>
          <w:i/>
          <w:iCs/>
          <w:lang w:val="bg-BG"/>
        </w:rPr>
        <w:t>Scherer</w:t>
      </w:r>
      <w:proofErr w:type="spellEnd"/>
      <w:r w:rsidRPr="00006A07">
        <w:rPr>
          <w:i/>
          <w:iCs/>
          <w:lang w:val="bg-BG"/>
        </w:rPr>
        <w:t xml:space="preserve"> v. </w:t>
      </w:r>
      <w:proofErr w:type="spellStart"/>
      <w:r w:rsidRPr="00006A07">
        <w:rPr>
          <w:i/>
          <w:iCs/>
          <w:lang w:val="bg-BG"/>
        </w:rPr>
        <w:t>Switzerland</w:t>
      </w:r>
      <w:proofErr w:type="spellEnd"/>
      <w:r w:rsidRPr="00006A07">
        <w:rPr>
          <w:lang w:val="bg-BG"/>
        </w:rPr>
        <w:t>, 25 март 1994 г., §§ 31</w:t>
      </w:r>
      <w:r w:rsidRPr="00006A07">
        <w:rPr>
          <w:lang w:val="bg-BG"/>
        </w:rPr>
        <w:noBreakHyphen/>
        <w:t xml:space="preserve">32, </w:t>
      </w:r>
      <w:proofErr w:type="spellStart"/>
      <w:r w:rsidRPr="00006A07">
        <w:rPr>
          <w:lang w:val="bg-BG"/>
        </w:rPr>
        <w:t>Series</w:t>
      </w:r>
      <w:proofErr w:type="spellEnd"/>
      <w:r w:rsidRPr="00006A07">
        <w:rPr>
          <w:lang w:val="bg-BG"/>
        </w:rPr>
        <w:t xml:space="preserve"> A </w:t>
      </w:r>
      <w:proofErr w:type="spellStart"/>
      <w:r w:rsidRPr="00006A07">
        <w:rPr>
          <w:lang w:val="bg-BG"/>
        </w:rPr>
        <w:t>No</w:t>
      </w:r>
      <w:proofErr w:type="spellEnd"/>
      <w:r w:rsidRPr="00006A07">
        <w:rPr>
          <w:lang w:val="bg-BG"/>
        </w:rPr>
        <w:t xml:space="preserve">. 287; </w:t>
      </w:r>
      <w:r w:rsidRPr="00006A07">
        <w:rPr>
          <w:i/>
          <w:iCs/>
          <w:lang w:val="bg-BG" w:eastAsia="en-US"/>
        </w:rPr>
        <w:t xml:space="preserve">S.G. v. </w:t>
      </w:r>
      <w:proofErr w:type="spellStart"/>
      <w:r w:rsidRPr="00006A07">
        <w:rPr>
          <w:i/>
          <w:iCs/>
          <w:lang w:val="bg-BG" w:eastAsia="en-US"/>
        </w:rPr>
        <w:t>France</w:t>
      </w:r>
      <w:proofErr w:type="spellEnd"/>
      <w:r w:rsidRPr="00006A07">
        <w:rPr>
          <w:lang w:val="bg-BG" w:eastAsia="en-US"/>
        </w:rPr>
        <w:t xml:space="preserve"> (</w:t>
      </w:r>
      <w:proofErr w:type="spellStart"/>
      <w:r w:rsidRPr="00006A07">
        <w:rPr>
          <w:lang w:val="bg-BG" w:eastAsia="en-US"/>
        </w:rPr>
        <w:t>striking</w:t>
      </w:r>
      <w:proofErr w:type="spellEnd"/>
      <w:r w:rsidRPr="00006A07">
        <w:rPr>
          <w:lang w:val="bg-BG" w:eastAsia="en-US"/>
        </w:rPr>
        <w:t xml:space="preserve"> </w:t>
      </w:r>
      <w:proofErr w:type="spellStart"/>
      <w:r w:rsidRPr="00006A07">
        <w:rPr>
          <w:lang w:val="bg-BG" w:eastAsia="en-US"/>
        </w:rPr>
        <w:t>out</w:t>
      </w:r>
      <w:proofErr w:type="spellEnd"/>
      <w:r w:rsidRPr="00006A07">
        <w:rPr>
          <w:lang w:val="bg-BG" w:eastAsia="en-US"/>
        </w:rPr>
        <w:t xml:space="preserve">), </w:t>
      </w:r>
      <w:proofErr w:type="spellStart"/>
      <w:r w:rsidRPr="00006A07">
        <w:rPr>
          <w:lang w:val="bg-BG" w:eastAsia="en-US"/>
        </w:rPr>
        <w:t>no</w:t>
      </w:r>
      <w:proofErr w:type="spellEnd"/>
      <w:r w:rsidRPr="00006A07">
        <w:rPr>
          <w:lang w:val="bg-BG" w:eastAsia="en-US"/>
        </w:rPr>
        <w:t xml:space="preserve">. 40669/98, §§ 6 и 16, 18 септември 2001 г.; </w:t>
      </w:r>
      <w:proofErr w:type="spellStart"/>
      <w:r w:rsidRPr="00006A07">
        <w:rPr>
          <w:i/>
          <w:iCs/>
          <w:lang w:val="bg-BG"/>
        </w:rPr>
        <w:t>Thévenon</w:t>
      </w:r>
      <w:proofErr w:type="spellEnd"/>
      <w:r w:rsidRPr="00006A07">
        <w:rPr>
          <w:i/>
          <w:iCs/>
          <w:lang w:val="bg-BG"/>
        </w:rPr>
        <w:t xml:space="preserve"> v. </w:t>
      </w:r>
      <w:proofErr w:type="spellStart"/>
      <w:r w:rsidRPr="00006A07">
        <w:rPr>
          <w:i/>
          <w:iCs/>
          <w:lang w:val="bg-BG"/>
        </w:rPr>
        <w:t>France</w:t>
      </w:r>
      <w:proofErr w:type="spellEnd"/>
      <w:r w:rsidRPr="00006A07">
        <w:rPr>
          <w:lang w:val="bg-BG"/>
        </w:rPr>
        <w:t xml:space="preserve"> (</w:t>
      </w:r>
      <w:proofErr w:type="spellStart"/>
      <w:r w:rsidRPr="00006A07">
        <w:rPr>
          <w:lang w:val="bg-BG"/>
        </w:rPr>
        <w:t>dec</w:t>
      </w:r>
      <w:proofErr w:type="spellEnd"/>
      <w:r w:rsidRPr="00006A07">
        <w:rPr>
          <w:lang w:val="bg-BG"/>
        </w:rPr>
        <w:t xml:space="preserve">.), </w:t>
      </w:r>
      <w:proofErr w:type="spellStart"/>
      <w:r w:rsidRPr="00006A07">
        <w:rPr>
          <w:lang w:val="bg-BG"/>
        </w:rPr>
        <w:t>no</w:t>
      </w:r>
      <w:proofErr w:type="spellEnd"/>
      <w:r w:rsidRPr="00006A07">
        <w:rPr>
          <w:lang w:val="bg-BG"/>
        </w:rPr>
        <w:t>. 2476/02, ECHR 2006</w:t>
      </w:r>
      <w:r w:rsidRPr="00006A07">
        <w:rPr>
          <w:lang w:val="bg-BG"/>
        </w:rPr>
        <w:noBreakHyphen/>
        <w:t>III;</w:t>
      </w:r>
      <w:r w:rsidRPr="00006A07">
        <w:rPr>
          <w:i/>
          <w:iCs/>
          <w:lang w:val="bg-BG" w:eastAsia="en-US"/>
        </w:rPr>
        <w:t xml:space="preserve"> </w:t>
      </w:r>
      <w:proofErr w:type="spellStart"/>
      <w:r w:rsidRPr="00006A07">
        <w:rPr>
          <w:i/>
          <w:iCs/>
          <w:lang w:val="bg-BG" w:eastAsia="en-US"/>
        </w:rPr>
        <w:t>Léger</w:t>
      </w:r>
      <w:proofErr w:type="spellEnd"/>
      <w:r w:rsidRPr="00006A07">
        <w:rPr>
          <w:i/>
          <w:iCs/>
          <w:lang w:val="bg-BG" w:eastAsia="en-US"/>
        </w:rPr>
        <w:t xml:space="preserve"> v. </w:t>
      </w:r>
      <w:proofErr w:type="spellStart"/>
      <w:r w:rsidRPr="00006A07">
        <w:rPr>
          <w:i/>
          <w:iCs/>
          <w:lang w:val="bg-BG" w:eastAsia="en-US"/>
        </w:rPr>
        <w:t>France</w:t>
      </w:r>
      <w:proofErr w:type="spellEnd"/>
      <w:r w:rsidRPr="00006A07">
        <w:rPr>
          <w:lang w:val="bg-BG" w:eastAsia="en-US"/>
        </w:rPr>
        <w:t xml:space="preserve"> (заличено) [GC], </w:t>
      </w:r>
      <w:proofErr w:type="spellStart"/>
      <w:r w:rsidRPr="00006A07">
        <w:rPr>
          <w:snapToGrid w:val="0"/>
          <w:lang w:val="bg-BG" w:eastAsia="en-US"/>
        </w:rPr>
        <w:t>no</w:t>
      </w:r>
      <w:proofErr w:type="spellEnd"/>
      <w:r w:rsidRPr="00006A07">
        <w:rPr>
          <w:snapToGrid w:val="0"/>
          <w:lang w:val="bg-BG" w:eastAsia="en-US"/>
        </w:rPr>
        <w:t xml:space="preserve">. </w:t>
      </w:r>
      <w:r w:rsidRPr="00006A07">
        <w:rPr>
          <w:lang w:val="bg-BG" w:eastAsia="en-US"/>
        </w:rPr>
        <w:t>19324/02</w:t>
      </w:r>
      <w:r w:rsidRPr="00006A07">
        <w:rPr>
          <w:snapToGrid w:val="0"/>
          <w:lang w:val="bg-BG" w:eastAsia="en-US"/>
        </w:rPr>
        <w:t xml:space="preserve">, </w:t>
      </w:r>
      <w:r w:rsidRPr="00006A07">
        <w:rPr>
          <w:lang w:val="bg-BG"/>
        </w:rPr>
        <w:t>§§ 47</w:t>
      </w:r>
      <w:r w:rsidRPr="00006A07">
        <w:rPr>
          <w:lang w:val="bg-BG"/>
        </w:rPr>
        <w:noBreakHyphen/>
        <w:t>51</w:t>
      </w:r>
      <w:r w:rsidRPr="00006A07">
        <w:rPr>
          <w:snapToGrid w:val="0"/>
          <w:lang w:val="bg-BG" w:eastAsia="en-US"/>
        </w:rPr>
        <w:t xml:space="preserve">, </w:t>
      </w:r>
      <w:r w:rsidRPr="00006A07">
        <w:rPr>
          <w:lang w:val="bg-BG" w:eastAsia="en-US"/>
        </w:rPr>
        <w:t>30 март 2009 г.</w:t>
      </w:r>
      <w:r w:rsidRPr="00006A07">
        <w:rPr>
          <w:lang w:val="bg-BG"/>
        </w:rPr>
        <w:t>;</w:t>
      </w:r>
      <w:r w:rsidRPr="00006A07">
        <w:rPr>
          <w:i/>
          <w:iCs/>
          <w:lang w:val="bg-BG"/>
        </w:rPr>
        <w:t xml:space="preserve"> </w:t>
      </w:r>
      <w:proofErr w:type="spellStart"/>
      <w:r w:rsidRPr="00006A07">
        <w:rPr>
          <w:i/>
          <w:iCs/>
          <w:lang w:val="bg-BG"/>
        </w:rPr>
        <w:t>Mitev</w:t>
      </w:r>
      <w:proofErr w:type="spellEnd"/>
      <w:r w:rsidRPr="00006A07">
        <w:rPr>
          <w:i/>
          <w:iCs/>
          <w:lang w:val="bg-BG"/>
        </w:rPr>
        <w:t xml:space="preserve"> v. </w:t>
      </w:r>
      <w:proofErr w:type="spellStart"/>
      <w:r w:rsidRPr="00006A07">
        <w:rPr>
          <w:i/>
          <w:iCs/>
          <w:lang w:val="bg-BG"/>
        </w:rPr>
        <w:t>Bulgaria</w:t>
      </w:r>
      <w:proofErr w:type="spellEnd"/>
      <w:r w:rsidRPr="00006A07">
        <w:rPr>
          <w:lang w:val="bg-BG"/>
        </w:rPr>
        <w:t xml:space="preserve"> (</w:t>
      </w:r>
      <w:proofErr w:type="spellStart"/>
      <w:r w:rsidRPr="00006A07">
        <w:rPr>
          <w:lang w:val="bg-BG"/>
        </w:rPr>
        <w:t>dec</w:t>
      </w:r>
      <w:proofErr w:type="spellEnd"/>
      <w:r w:rsidRPr="00006A07">
        <w:rPr>
          <w:lang w:val="bg-BG"/>
        </w:rPr>
        <w:t xml:space="preserve">.), </w:t>
      </w:r>
      <w:proofErr w:type="spellStart"/>
      <w:r w:rsidRPr="00006A07">
        <w:rPr>
          <w:lang w:val="bg-BG"/>
        </w:rPr>
        <w:t>no</w:t>
      </w:r>
      <w:proofErr w:type="spellEnd"/>
      <w:r w:rsidRPr="00006A07">
        <w:rPr>
          <w:lang w:val="bg-BG"/>
        </w:rPr>
        <w:t xml:space="preserve">. 42758/07, 29 юни 2010 г.; и </w:t>
      </w:r>
      <w:proofErr w:type="spellStart"/>
      <w:r w:rsidRPr="00006A07">
        <w:rPr>
          <w:i/>
          <w:iCs/>
          <w:lang w:val="bg-BG"/>
        </w:rPr>
        <w:t>Yanchev</w:t>
      </w:r>
      <w:proofErr w:type="spellEnd"/>
      <w:r w:rsidRPr="00006A07">
        <w:rPr>
          <w:i/>
          <w:iCs/>
          <w:lang w:val="bg-BG"/>
        </w:rPr>
        <w:t xml:space="preserve"> v. </w:t>
      </w:r>
      <w:proofErr w:type="spellStart"/>
      <w:r w:rsidRPr="00006A07">
        <w:rPr>
          <w:i/>
          <w:iCs/>
          <w:lang w:val="bg-BG"/>
        </w:rPr>
        <w:t>Bulgaria</w:t>
      </w:r>
      <w:proofErr w:type="spellEnd"/>
      <w:r w:rsidRPr="00006A07">
        <w:rPr>
          <w:lang w:val="bg-BG"/>
        </w:rPr>
        <w:t xml:space="preserve"> (</w:t>
      </w:r>
      <w:proofErr w:type="spellStart"/>
      <w:r w:rsidRPr="00006A07">
        <w:rPr>
          <w:lang w:val="bg-BG"/>
        </w:rPr>
        <w:t>dec</w:t>
      </w:r>
      <w:proofErr w:type="spellEnd"/>
      <w:r w:rsidRPr="00006A07">
        <w:rPr>
          <w:lang w:val="bg-BG"/>
        </w:rPr>
        <w:t xml:space="preserve">.) [Комитет], </w:t>
      </w:r>
      <w:proofErr w:type="spellStart"/>
      <w:r w:rsidRPr="00006A07">
        <w:rPr>
          <w:lang w:val="bg-BG"/>
        </w:rPr>
        <w:t>no</w:t>
      </w:r>
      <w:proofErr w:type="spellEnd"/>
      <w:r w:rsidRPr="00006A07">
        <w:rPr>
          <w:lang w:val="bg-BG"/>
        </w:rPr>
        <w:t>. 16403/07, 20 март 2012 г.).</w:t>
      </w:r>
    </w:p>
    <w:bookmarkStart w:id="55" w:name="L_A_37_2"/>
    <w:p w:rsidR="0095532B" w:rsidRPr="00006A07" w:rsidRDefault="0095532B" w:rsidP="008D7A78">
      <w:pPr>
        <w:pStyle w:val="JuPara"/>
        <w:rPr>
          <w:lang w:val="bg-BG"/>
        </w:rPr>
      </w:pPr>
      <w:r w:rsidRPr="00006A07">
        <w:rPr>
          <w:lang w:val="bg-BG"/>
        </w:rPr>
        <w:fldChar w:fldCharType="begin"/>
      </w:r>
      <w:r w:rsidRPr="00006A07">
        <w:rPr>
          <w:lang w:val="bg-BG"/>
        </w:rPr>
        <w:instrText xml:space="preserve"> SEQ level0 \*arabic </w:instrText>
      </w:r>
      <w:r w:rsidRPr="00006A07">
        <w:rPr>
          <w:lang w:val="bg-BG"/>
        </w:rPr>
        <w:fldChar w:fldCharType="separate"/>
      </w:r>
      <w:r w:rsidRPr="00006A07">
        <w:rPr>
          <w:noProof/>
          <w:lang w:val="bg-BG"/>
        </w:rPr>
        <w:t>72</w:t>
      </w:r>
      <w:r w:rsidRPr="00006A07">
        <w:rPr>
          <w:lang w:val="bg-BG"/>
        </w:rPr>
        <w:fldChar w:fldCharType="end"/>
      </w:r>
      <w:bookmarkEnd w:id="55"/>
      <w:r w:rsidRPr="00006A07">
        <w:rPr>
          <w:lang w:val="bg-BG"/>
        </w:rPr>
        <w:t xml:space="preserve">.  По настоящото дело исканията за водене на производството са подадени от лица, които са представили доказателства за статута си </w:t>
      </w:r>
      <w:r w:rsidRPr="00006A07">
        <w:rPr>
          <w:lang w:val="bg-BG"/>
        </w:rPr>
        <w:lastRenderedPageBreak/>
        <w:t xml:space="preserve">едновременно на наследници и много близки роднини на починалите жалбоподатели (вж. параграф </w:t>
      </w:r>
      <w:r w:rsidRPr="00006A07">
        <w:rPr>
          <w:lang w:val="bg-BG"/>
        </w:rPr>
        <w:fldChar w:fldCharType="begin"/>
      </w:r>
      <w:r w:rsidRPr="00006A07">
        <w:rPr>
          <w:lang w:val="bg-BG"/>
        </w:rPr>
        <w:instrText xml:space="preserve"> REF P_applicants_heirs \h </w:instrText>
      </w:r>
      <w:r w:rsidRPr="00006A07">
        <w:rPr>
          <w:lang w:val="bg-BG"/>
        </w:rPr>
      </w:r>
      <w:r w:rsidRPr="00006A07">
        <w:rPr>
          <w:lang w:val="bg-BG"/>
        </w:rPr>
        <w:fldChar w:fldCharType="separate"/>
      </w:r>
      <w:r w:rsidRPr="00006A07">
        <w:rPr>
          <w:noProof/>
          <w:lang w:val="bg-BG"/>
        </w:rPr>
        <w:t>4</w:t>
      </w:r>
      <w:r w:rsidRPr="00006A07">
        <w:rPr>
          <w:lang w:val="bg-BG"/>
        </w:rPr>
        <w:fldChar w:fldCharType="end"/>
      </w:r>
      <w:r w:rsidRPr="00006A07">
        <w:rPr>
          <w:lang w:val="bg-BG"/>
        </w:rPr>
        <w:t xml:space="preserve"> по-горе).</w:t>
      </w:r>
    </w:p>
    <w:bookmarkStart w:id="56" w:name="L_A_37_3"/>
    <w:p w:rsidR="0095532B" w:rsidRPr="00006A07" w:rsidRDefault="0095532B" w:rsidP="008D7A78">
      <w:pPr>
        <w:pStyle w:val="JuPara"/>
        <w:rPr>
          <w:lang w:val="bg-BG" w:eastAsia="en-US"/>
        </w:rPr>
      </w:pPr>
      <w:r w:rsidRPr="00006A07">
        <w:rPr>
          <w:lang w:val="bg-BG"/>
        </w:rPr>
        <w:fldChar w:fldCharType="begin"/>
      </w:r>
      <w:r w:rsidRPr="00006A07">
        <w:rPr>
          <w:lang w:val="bg-BG"/>
        </w:rPr>
        <w:instrText xml:space="preserve"> SEQ level0 \*arabic </w:instrText>
      </w:r>
      <w:r w:rsidRPr="00006A07">
        <w:rPr>
          <w:lang w:val="bg-BG"/>
        </w:rPr>
        <w:fldChar w:fldCharType="separate"/>
      </w:r>
      <w:r w:rsidRPr="00006A07">
        <w:rPr>
          <w:noProof/>
          <w:lang w:val="bg-BG"/>
        </w:rPr>
        <w:t>73</w:t>
      </w:r>
      <w:r w:rsidRPr="00006A07">
        <w:rPr>
          <w:lang w:val="bg-BG"/>
        </w:rPr>
        <w:fldChar w:fldCharType="end"/>
      </w:r>
      <w:bookmarkEnd w:id="56"/>
      <w:r w:rsidRPr="00006A07">
        <w:rPr>
          <w:lang w:val="bg-BG"/>
        </w:rPr>
        <w:t xml:space="preserve">.  Действително, съгласно член 34 наличието на жертва на нарушение е задължително за привеждане в действие на механизма за защита на Конвенцията. Този критерий обаче не може да се прилага по твърд, механичен и лишен от гъвкавост начин по време на производството (вж. като скорошен източник, </w:t>
      </w:r>
      <w:r w:rsidRPr="00006A07">
        <w:rPr>
          <w:i/>
          <w:iCs/>
          <w:lang w:val="bg-BG"/>
        </w:rPr>
        <w:t xml:space="preserve">OAO </w:t>
      </w:r>
      <w:proofErr w:type="spellStart"/>
      <w:r w:rsidRPr="00006A07">
        <w:rPr>
          <w:i/>
          <w:iCs/>
          <w:lang w:val="bg-BG"/>
        </w:rPr>
        <w:t>Neftyanaya</w:t>
      </w:r>
      <w:proofErr w:type="spellEnd"/>
      <w:r w:rsidRPr="00006A07">
        <w:rPr>
          <w:i/>
          <w:iCs/>
          <w:lang w:val="bg-BG"/>
        </w:rPr>
        <w:t xml:space="preserve"> </w:t>
      </w:r>
      <w:proofErr w:type="spellStart"/>
      <w:r w:rsidRPr="00006A07">
        <w:rPr>
          <w:i/>
          <w:iCs/>
          <w:lang w:val="bg-BG"/>
        </w:rPr>
        <w:t>kompaniya</w:t>
      </w:r>
      <w:proofErr w:type="spellEnd"/>
      <w:r w:rsidRPr="00006A07">
        <w:rPr>
          <w:i/>
          <w:iCs/>
          <w:lang w:val="bg-BG"/>
        </w:rPr>
        <w:t xml:space="preserve"> YUKOS v. </w:t>
      </w:r>
      <w:proofErr w:type="spellStart"/>
      <w:r w:rsidRPr="00006A07">
        <w:rPr>
          <w:i/>
          <w:iCs/>
          <w:lang w:val="bg-BG"/>
        </w:rPr>
        <w:t>Russia</w:t>
      </w:r>
      <w:proofErr w:type="spellEnd"/>
      <w:r w:rsidRPr="00006A07">
        <w:rPr>
          <w:lang w:val="bg-BG"/>
        </w:rPr>
        <w:t xml:space="preserve"> (</w:t>
      </w:r>
      <w:proofErr w:type="spellStart"/>
      <w:r w:rsidRPr="00006A07">
        <w:rPr>
          <w:lang w:val="bg-BG"/>
        </w:rPr>
        <w:t>dec</w:t>
      </w:r>
      <w:proofErr w:type="spellEnd"/>
      <w:r w:rsidRPr="00006A07">
        <w:rPr>
          <w:lang w:val="bg-BG"/>
        </w:rPr>
        <w:t xml:space="preserve">.), </w:t>
      </w:r>
      <w:proofErr w:type="spellStart"/>
      <w:r w:rsidRPr="00006A07">
        <w:rPr>
          <w:lang w:val="bg-BG"/>
        </w:rPr>
        <w:t>no</w:t>
      </w:r>
      <w:proofErr w:type="spellEnd"/>
      <w:r w:rsidRPr="00006A07">
        <w:rPr>
          <w:lang w:val="bg-BG"/>
        </w:rPr>
        <w:t xml:space="preserve">. 14902/04, § 441, 29 януари 2009 г.). Подходът на Съда по дела, заведени от самите жалбоподатели и само продължени от роднините им след смъртта им, се различава от подхода им спрямо случаи, при които жалбата е била внесена след смъртта на пряката жертва (вж. </w:t>
      </w:r>
      <w:proofErr w:type="spellStart"/>
      <w:r w:rsidRPr="00006A07">
        <w:rPr>
          <w:rStyle w:val="s6b621b36"/>
          <w:i/>
          <w:iCs/>
          <w:lang w:val="bg-BG"/>
        </w:rPr>
        <w:t>Fairfield</w:t>
      </w:r>
      <w:proofErr w:type="spellEnd"/>
      <w:r w:rsidRPr="00006A07">
        <w:rPr>
          <w:rStyle w:val="s6b621b36"/>
          <w:i/>
          <w:iCs/>
          <w:lang w:val="bg-BG"/>
        </w:rPr>
        <w:t xml:space="preserve"> </w:t>
      </w:r>
      <w:proofErr w:type="spellStart"/>
      <w:r w:rsidRPr="00006A07">
        <w:rPr>
          <w:rStyle w:val="s6b621b36"/>
          <w:i/>
          <w:iCs/>
          <w:lang w:val="bg-BG"/>
        </w:rPr>
        <w:t>and</w:t>
      </w:r>
      <w:proofErr w:type="spellEnd"/>
      <w:r w:rsidRPr="00006A07">
        <w:rPr>
          <w:rStyle w:val="s6b621b36"/>
          <w:i/>
          <w:iCs/>
          <w:lang w:val="bg-BG"/>
        </w:rPr>
        <w:t xml:space="preserve"> </w:t>
      </w:r>
      <w:proofErr w:type="spellStart"/>
      <w:r w:rsidRPr="00006A07">
        <w:rPr>
          <w:rStyle w:val="s6b621b36"/>
          <w:i/>
          <w:iCs/>
          <w:lang w:val="bg-BG"/>
        </w:rPr>
        <w:t>Others</w:t>
      </w:r>
      <w:proofErr w:type="spellEnd"/>
      <w:r w:rsidRPr="00006A07">
        <w:rPr>
          <w:rStyle w:val="s6b621b36"/>
          <w:i/>
          <w:iCs/>
          <w:lang w:val="bg-BG"/>
        </w:rPr>
        <w:t xml:space="preserve"> v. </w:t>
      </w:r>
      <w:proofErr w:type="spellStart"/>
      <w:r w:rsidRPr="00006A07">
        <w:rPr>
          <w:rStyle w:val="s6b621b36"/>
          <w:i/>
          <w:iCs/>
          <w:lang w:val="bg-BG"/>
        </w:rPr>
        <w:t>the</w:t>
      </w:r>
      <w:proofErr w:type="spellEnd"/>
      <w:r w:rsidRPr="00006A07">
        <w:rPr>
          <w:rStyle w:val="s6b621b36"/>
          <w:i/>
          <w:iCs/>
          <w:lang w:val="bg-BG"/>
        </w:rPr>
        <w:t xml:space="preserve"> </w:t>
      </w:r>
      <w:proofErr w:type="spellStart"/>
      <w:r w:rsidRPr="00006A07">
        <w:rPr>
          <w:rStyle w:val="s6b621b36"/>
          <w:i/>
          <w:iCs/>
          <w:lang w:val="bg-BG"/>
        </w:rPr>
        <w:t>United</w:t>
      </w:r>
      <w:proofErr w:type="spellEnd"/>
      <w:r w:rsidRPr="00006A07">
        <w:rPr>
          <w:rStyle w:val="s6b621b36"/>
          <w:i/>
          <w:iCs/>
          <w:lang w:val="bg-BG"/>
        </w:rPr>
        <w:t xml:space="preserve"> </w:t>
      </w:r>
      <w:proofErr w:type="spellStart"/>
      <w:r w:rsidRPr="00006A07">
        <w:rPr>
          <w:rStyle w:val="s6b621b36"/>
          <w:i/>
          <w:iCs/>
          <w:lang w:val="bg-BG"/>
        </w:rPr>
        <w:t>Kingdom</w:t>
      </w:r>
      <w:proofErr w:type="spellEnd"/>
      <w:r w:rsidRPr="00006A07">
        <w:rPr>
          <w:rStyle w:val="sb8d990e2"/>
          <w:lang w:val="bg-BG"/>
        </w:rPr>
        <w:t xml:space="preserve"> (</w:t>
      </w:r>
      <w:proofErr w:type="spellStart"/>
      <w:r w:rsidRPr="00006A07">
        <w:rPr>
          <w:rStyle w:val="sb8d990e2"/>
          <w:lang w:val="bg-BG"/>
        </w:rPr>
        <w:t>dec</w:t>
      </w:r>
      <w:proofErr w:type="spellEnd"/>
      <w:r w:rsidRPr="00006A07">
        <w:rPr>
          <w:rStyle w:val="sb8d990e2"/>
          <w:lang w:val="bg-BG"/>
        </w:rPr>
        <w:t xml:space="preserve">.), 24790/04, 8 март 2005 г.; </w:t>
      </w:r>
      <w:proofErr w:type="spellStart"/>
      <w:r w:rsidRPr="00006A07">
        <w:rPr>
          <w:i/>
          <w:iCs/>
          <w:lang w:val="bg-BG"/>
        </w:rPr>
        <w:t>Biç</w:t>
      </w:r>
      <w:proofErr w:type="spellEnd"/>
      <w:r w:rsidRPr="00006A07">
        <w:rPr>
          <w:i/>
          <w:iCs/>
          <w:lang w:val="bg-BG"/>
        </w:rPr>
        <w:t xml:space="preserve"> </w:t>
      </w:r>
      <w:proofErr w:type="spellStart"/>
      <w:r w:rsidRPr="00006A07">
        <w:rPr>
          <w:i/>
          <w:iCs/>
          <w:lang w:val="bg-BG"/>
        </w:rPr>
        <w:t>and</w:t>
      </w:r>
      <w:proofErr w:type="spellEnd"/>
      <w:r w:rsidRPr="00006A07">
        <w:rPr>
          <w:i/>
          <w:iCs/>
          <w:lang w:val="bg-BG"/>
        </w:rPr>
        <w:t xml:space="preserve"> </w:t>
      </w:r>
      <w:proofErr w:type="spellStart"/>
      <w:r w:rsidRPr="00006A07">
        <w:rPr>
          <w:i/>
          <w:iCs/>
          <w:lang w:val="bg-BG"/>
        </w:rPr>
        <w:t>Others</w:t>
      </w:r>
      <w:proofErr w:type="spellEnd"/>
      <w:r w:rsidRPr="00006A07">
        <w:rPr>
          <w:i/>
          <w:iCs/>
          <w:lang w:val="bg-BG"/>
        </w:rPr>
        <w:t xml:space="preserve"> v. </w:t>
      </w:r>
      <w:proofErr w:type="spellStart"/>
      <w:r w:rsidRPr="00006A07">
        <w:rPr>
          <w:i/>
          <w:iCs/>
          <w:lang w:val="bg-BG"/>
        </w:rPr>
        <w:t>Turkey</w:t>
      </w:r>
      <w:proofErr w:type="spellEnd"/>
      <w:r w:rsidRPr="00006A07">
        <w:rPr>
          <w:lang w:val="bg-BG"/>
        </w:rPr>
        <w:t xml:space="preserve">, </w:t>
      </w:r>
      <w:proofErr w:type="spellStart"/>
      <w:r w:rsidRPr="00006A07">
        <w:rPr>
          <w:lang w:val="bg-BG"/>
        </w:rPr>
        <w:t>no</w:t>
      </w:r>
      <w:proofErr w:type="spellEnd"/>
      <w:r w:rsidRPr="00006A07">
        <w:rPr>
          <w:lang w:val="bg-BG"/>
        </w:rPr>
        <w:t xml:space="preserve">. 55955/00, § 20, 2 февруари 2006 г.; </w:t>
      </w:r>
      <w:proofErr w:type="spellStart"/>
      <w:r w:rsidRPr="00006A07">
        <w:rPr>
          <w:i/>
          <w:iCs/>
          <w:lang w:val="bg-BG"/>
        </w:rPr>
        <w:t>Direkçi</w:t>
      </w:r>
      <w:proofErr w:type="spellEnd"/>
      <w:r w:rsidRPr="00006A07">
        <w:rPr>
          <w:i/>
          <w:iCs/>
          <w:lang w:val="bg-BG"/>
        </w:rPr>
        <w:t xml:space="preserve"> v. </w:t>
      </w:r>
      <w:proofErr w:type="spellStart"/>
      <w:r w:rsidRPr="00006A07">
        <w:rPr>
          <w:i/>
          <w:iCs/>
          <w:lang w:val="bg-BG"/>
        </w:rPr>
        <w:t>Turkey</w:t>
      </w:r>
      <w:proofErr w:type="spellEnd"/>
      <w:r w:rsidRPr="00006A07">
        <w:rPr>
          <w:lang w:val="bg-BG"/>
        </w:rPr>
        <w:t xml:space="preserve"> (</w:t>
      </w:r>
      <w:proofErr w:type="spellStart"/>
      <w:r w:rsidRPr="00006A07">
        <w:rPr>
          <w:lang w:val="bg-BG"/>
        </w:rPr>
        <w:t>dec</w:t>
      </w:r>
      <w:proofErr w:type="spellEnd"/>
      <w:r w:rsidRPr="00006A07">
        <w:rPr>
          <w:lang w:val="bg-BG"/>
        </w:rPr>
        <w:t xml:space="preserve">.), </w:t>
      </w:r>
      <w:proofErr w:type="spellStart"/>
      <w:r w:rsidRPr="00006A07">
        <w:rPr>
          <w:lang w:val="bg-BG"/>
        </w:rPr>
        <w:t>no</w:t>
      </w:r>
      <w:proofErr w:type="spellEnd"/>
      <w:r w:rsidRPr="00006A07">
        <w:rPr>
          <w:lang w:val="bg-BG"/>
        </w:rPr>
        <w:t xml:space="preserve">. 47826/99, 3 октомври 2006 г.; и </w:t>
      </w:r>
      <w:proofErr w:type="spellStart"/>
      <w:r w:rsidRPr="00006A07">
        <w:rPr>
          <w:i/>
          <w:iCs/>
          <w:lang w:val="bg-BG"/>
        </w:rPr>
        <w:t>Grădinar</w:t>
      </w:r>
      <w:proofErr w:type="spellEnd"/>
      <w:r w:rsidRPr="00006A07">
        <w:rPr>
          <w:i/>
          <w:iCs/>
          <w:lang w:val="bg-BG"/>
        </w:rPr>
        <w:t xml:space="preserve"> v. </w:t>
      </w:r>
      <w:proofErr w:type="spellStart"/>
      <w:r w:rsidRPr="00006A07">
        <w:rPr>
          <w:i/>
          <w:iCs/>
          <w:lang w:val="bg-BG"/>
        </w:rPr>
        <w:t>Moldova</w:t>
      </w:r>
      <w:proofErr w:type="spellEnd"/>
      <w:r w:rsidRPr="00006A07">
        <w:rPr>
          <w:lang w:val="bg-BG"/>
        </w:rPr>
        <w:t xml:space="preserve">, </w:t>
      </w:r>
      <w:proofErr w:type="spellStart"/>
      <w:r w:rsidRPr="00006A07">
        <w:rPr>
          <w:lang w:val="bg-BG"/>
        </w:rPr>
        <w:t>no</w:t>
      </w:r>
      <w:proofErr w:type="spellEnd"/>
      <w:r w:rsidRPr="00006A07">
        <w:rPr>
          <w:lang w:val="bg-BG"/>
        </w:rPr>
        <w:t xml:space="preserve">. 7170/02, § 91, 8 април 2008 г.; </w:t>
      </w:r>
      <w:proofErr w:type="spellStart"/>
      <w:r w:rsidRPr="00006A07">
        <w:rPr>
          <w:i/>
          <w:iCs/>
          <w:lang w:val="bg-BG"/>
        </w:rPr>
        <w:t>Dvořáček</w:t>
      </w:r>
      <w:proofErr w:type="spellEnd"/>
      <w:r w:rsidRPr="00006A07">
        <w:rPr>
          <w:i/>
          <w:iCs/>
          <w:lang w:val="bg-BG"/>
        </w:rPr>
        <w:t xml:space="preserve"> </w:t>
      </w:r>
      <w:proofErr w:type="spellStart"/>
      <w:r w:rsidRPr="00006A07">
        <w:rPr>
          <w:i/>
          <w:iCs/>
          <w:lang w:val="bg-BG"/>
        </w:rPr>
        <w:t>and</w:t>
      </w:r>
      <w:proofErr w:type="spellEnd"/>
      <w:r w:rsidRPr="00006A07">
        <w:rPr>
          <w:i/>
          <w:iCs/>
          <w:lang w:val="bg-BG"/>
        </w:rPr>
        <w:t xml:space="preserve"> </w:t>
      </w:r>
      <w:proofErr w:type="spellStart"/>
      <w:r w:rsidRPr="00006A07">
        <w:rPr>
          <w:i/>
          <w:iCs/>
          <w:lang w:val="bg-BG"/>
        </w:rPr>
        <w:t>Dvořáčková</w:t>
      </w:r>
      <w:proofErr w:type="spellEnd"/>
      <w:r w:rsidRPr="00006A07">
        <w:rPr>
          <w:i/>
          <w:iCs/>
          <w:lang w:val="bg-BG"/>
        </w:rPr>
        <w:t xml:space="preserve"> v. </w:t>
      </w:r>
      <w:proofErr w:type="spellStart"/>
      <w:r w:rsidRPr="00006A07">
        <w:rPr>
          <w:i/>
          <w:iCs/>
          <w:lang w:val="bg-BG"/>
        </w:rPr>
        <w:t>Slovakia</w:t>
      </w:r>
      <w:proofErr w:type="spellEnd"/>
      <w:r w:rsidRPr="00006A07">
        <w:rPr>
          <w:lang w:val="bg-BG"/>
        </w:rPr>
        <w:t xml:space="preserve">, </w:t>
      </w:r>
      <w:proofErr w:type="spellStart"/>
      <w:r w:rsidRPr="00006A07">
        <w:rPr>
          <w:lang w:val="bg-BG"/>
        </w:rPr>
        <w:t>no</w:t>
      </w:r>
      <w:proofErr w:type="spellEnd"/>
      <w:r w:rsidRPr="00006A07">
        <w:rPr>
          <w:lang w:val="bg-BG"/>
        </w:rPr>
        <w:t>. 30754/04</w:t>
      </w:r>
      <w:r w:rsidRPr="00006A07">
        <w:rPr>
          <w:snapToGrid w:val="0"/>
          <w:lang w:val="bg-BG"/>
        </w:rPr>
        <w:t xml:space="preserve">, § 39, 28 юли 2009 г.; и </w:t>
      </w:r>
      <w:proofErr w:type="spellStart"/>
      <w:r w:rsidRPr="00006A07">
        <w:rPr>
          <w:i/>
          <w:iCs/>
          <w:snapToGrid w:val="0"/>
          <w:lang w:val="bg-BG"/>
        </w:rPr>
        <w:t>Kaburov</w:t>
      </w:r>
      <w:proofErr w:type="spellEnd"/>
      <w:r w:rsidRPr="00006A07">
        <w:rPr>
          <w:i/>
          <w:iCs/>
          <w:snapToGrid w:val="0"/>
          <w:lang w:val="bg-BG"/>
        </w:rPr>
        <w:t xml:space="preserve"> v. </w:t>
      </w:r>
      <w:proofErr w:type="spellStart"/>
      <w:r w:rsidRPr="00006A07">
        <w:rPr>
          <w:i/>
          <w:iCs/>
          <w:snapToGrid w:val="0"/>
          <w:lang w:val="bg-BG"/>
        </w:rPr>
        <w:t>Bulgaria</w:t>
      </w:r>
      <w:proofErr w:type="spellEnd"/>
      <w:r w:rsidRPr="00006A07">
        <w:rPr>
          <w:snapToGrid w:val="0"/>
          <w:lang w:val="bg-BG"/>
        </w:rPr>
        <w:t xml:space="preserve"> (</w:t>
      </w:r>
      <w:proofErr w:type="spellStart"/>
      <w:r w:rsidRPr="00006A07">
        <w:rPr>
          <w:snapToGrid w:val="0"/>
          <w:lang w:val="bg-BG"/>
        </w:rPr>
        <w:t>dec</w:t>
      </w:r>
      <w:proofErr w:type="spellEnd"/>
      <w:r w:rsidRPr="00006A07">
        <w:rPr>
          <w:snapToGrid w:val="0"/>
          <w:lang w:val="bg-BG"/>
        </w:rPr>
        <w:t xml:space="preserve">.), </w:t>
      </w:r>
      <w:proofErr w:type="spellStart"/>
      <w:r w:rsidRPr="00006A07">
        <w:rPr>
          <w:snapToGrid w:val="0"/>
          <w:lang w:val="bg-BG"/>
        </w:rPr>
        <w:t>no</w:t>
      </w:r>
      <w:proofErr w:type="spellEnd"/>
      <w:r w:rsidRPr="00006A07">
        <w:rPr>
          <w:snapToGrid w:val="0"/>
          <w:lang w:val="bg-BG"/>
        </w:rPr>
        <w:t xml:space="preserve">. 9035/06, § 52, 19 юни 2012 г.). Освен това </w:t>
      </w:r>
      <w:proofErr w:type="spellStart"/>
      <w:r w:rsidRPr="00006A07">
        <w:rPr>
          <w:snapToGrid w:val="0"/>
          <w:lang w:val="bg-BG"/>
        </w:rPr>
        <w:t>прехвърляемостта</w:t>
      </w:r>
      <w:proofErr w:type="spellEnd"/>
      <w:r w:rsidRPr="00006A07">
        <w:rPr>
          <w:snapToGrid w:val="0"/>
          <w:lang w:val="bg-BG"/>
        </w:rPr>
        <w:t xml:space="preserve"> </w:t>
      </w:r>
      <w:r w:rsidRPr="00006A07">
        <w:rPr>
          <w:lang w:val="bg-BG"/>
        </w:rPr>
        <w:t>– или друго – на претенцията на жалбоподателя не винаги е решаваща</w:t>
      </w:r>
      <w:r w:rsidRPr="00006A07">
        <w:rPr>
          <w:lang w:val="bg-BG" w:eastAsia="en-US"/>
        </w:rPr>
        <w:t>, тъй като наследниците на починалите жалбоподатели може да преследват не само материален интерес с желанието си да поддържат ж</w:t>
      </w:r>
      <w:r w:rsidRPr="00006A07">
        <w:rPr>
          <w:lang w:val="bg-BG"/>
        </w:rPr>
        <w:t xml:space="preserve">албата (вж. </w:t>
      </w:r>
      <w:r w:rsidRPr="00006A07">
        <w:rPr>
          <w:i/>
          <w:iCs/>
          <w:lang w:val="bg-BG" w:eastAsia="en-US"/>
        </w:rPr>
        <w:t xml:space="preserve">Capital </w:t>
      </w:r>
      <w:proofErr w:type="spellStart"/>
      <w:r w:rsidRPr="00006A07">
        <w:rPr>
          <w:i/>
          <w:iCs/>
          <w:lang w:val="bg-BG" w:eastAsia="en-US"/>
        </w:rPr>
        <w:t>Bank</w:t>
      </w:r>
      <w:proofErr w:type="spellEnd"/>
      <w:r w:rsidRPr="00006A07">
        <w:rPr>
          <w:i/>
          <w:iCs/>
          <w:lang w:val="bg-BG" w:eastAsia="en-US"/>
        </w:rPr>
        <w:t xml:space="preserve"> AD v. </w:t>
      </w:r>
      <w:proofErr w:type="spellStart"/>
      <w:r w:rsidRPr="00006A07">
        <w:rPr>
          <w:i/>
          <w:iCs/>
          <w:lang w:val="bg-BG" w:eastAsia="en-US"/>
        </w:rPr>
        <w:t>Bulgaria</w:t>
      </w:r>
      <w:proofErr w:type="spellEnd"/>
      <w:r w:rsidRPr="00006A07">
        <w:rPr>
          <w:lang w:val="bg-BG" w:eastAsia="en-US"/>
        </w:rPr>
        <w:t xml:space="preserve">, </w:t>
      </w:r>
      <w:proofErr w:type="spellStart"/>
      <w:r w:rsidRPr="00006A07">
        <w:rPr>
          <w:lang w:val="bg-BG" w:eastAsia="en-US"/>
        </w:rPr>
        <w:t>no</w:t>
      </w:r>
      <w:proofErr w:type="spellEnd"/>
      <w:r w:rsidRPr="00006A07">
        <w:rPr>
          <w:lang w:val="bg-BG" w:eastAsia="en-US"/>
        </w:rPr>
        <w:t>. 49429/99, § 78, ECHR 2005</w:t>
      </w:r>
      <w:r w:rsidRPr="00006A07">
        <w:rPr>
          <w:lang w:val="bg-BG" w:eastAsia="en-US"/>
        </w:rPr>
        <w:noBreakHyphen/>
        <w:t>XII (извлечения)</w:t>
      </w:r>
      <w:r w:rsidRPr="00006A07">
        <w:rPr>
          <w:lang w:val="bg-BG"/>
        </w:rPr>
        <w:t xml:space="preserve">). Делата пред Съда като цяло имат също така морално или принципно измерение и лицата, близки до жалбоподателя, могат по този начин да имат легитимен интерес да получат произнасяне дори след смъртта на жалбоподателя (вж. </w:t>
      </w:r>
      <w:proofErr w:type="spellStart"/>
      <w:r w:rsidRPr="00006A07">
        <w:rPr>
          <w:i/>
          <w:iCs/>
          <w:lang w:val="bg-BG"/>
        </w:rPr>
        <w:t>Malhous</w:t>
      </w:r>
      <w:proofErr w:type="spellEnd"/>
      <w:r w:rsidRPr="00006A07">
        <w:rPr>
          <w:lang w:val="bg-BG"/>
        </w:rPr>
        <w:t>, цитирано по-горе). Това е особено вярно в настоящия случай по две причини</w:t>
      </w:r>
      <w:r w:rsidRPr="00006A07">
        <w:rPr>
          <w:lang w:val="bg-BG" w:eastAsia="en-US"/>
        </w:rPr>
        <w:t>. Първо, той се отнася до прилагането на най-основните разпоредби в системата на Конвенцията. На второ място, предметът му е тясно свързан със смъртта на четиримата жалбоподатели. При тези обстоятелства въздържането от произнасяне по оплакванията, посочени от починалите жалбоподатели, единствено защото поради сериозните си заболявания те не са имали силата и времето да дочакат изхода от производството пред Съда, би противоречало на мисията на Съда.</w:t>
      </w:r>
    </w:p>
    <w:bookmarkStart w:id="57" w:name="L_A_37_4"/>
    <w:p w:rsidR="0095532B" w:rsidRPr="00006A07" w:rsidRDefault="0095532B" w:rsidP="008D7A78">
      <w:pPr>
        <w:pStyle w:val="JuPara"/>
        <w:rPr>
          <w:lang w:val="bg-BG"/>
        </w:rPr>
      </w:pPr>
      <w:r w:rsidRPr="00006A07">
        <w:rPr>
          <w:lang w:val="bg-BG" w:eastAsia="en-US"/>
        </w:rPr>
        <w:fldChar w:fldCharType="begin"/>
      </w:r>
      <w:r w:rsidRPr="00006A07">
        <w:rPr>
          <w:lang w:val="bg-BG" w:eastAsia="en-US"/>
        </w:rPr>
        <w:instrText xml:space="preserve"> SEQ level0 \*arabic </w:instrText>
      </w:r>
      <w:r w:rsidRPr="00006A07">
        <w:rPr>
          <w:lang w:val="bg-BG" w:eastAsia="en-US"/>
        </w:rPr>
        <w:fldChar w:fldCharType="separate"/>
      </w:r>
      <w:r w:rsidRPr="00006A07">
        <w:rPr>
          <w:noProof/>
          <w:lang w:val="bg-BG" w:eastAsia="en-US"/>
        </w:rPr>
        <w:t>74</w:t>
      </w:r>
      <w:r w:rsidRPr="00006A07">
        <w:rPr>
          <w:lang w:val="bg-BG" w:eastAsia="en-US"/>
        </w:rPr>
        <w:fldChar w:fldCharType="end"/>
      </w:r>
      <w:bookmarkEnd w:id="57"/>
      <w:r w:rsidRPr="00006A07">
        <w:rPr>
          <w:lang w:val="bg-BG" w:eastAsia="en-US"/>
        </w:rPr>
        <w:t xml:space="preserve">.  Поради това не може да се каже, че повече не е оправдано да продължи разглеждането на </w:t>
      </w:r>
      <w:r w:rsidRPr="00006A07">
        <w:rPr>
          <w:lang w:val="bg-BG"/>
        </w:rPr>
        <w:t>жалбите, доколкото те се отнасят до четиримата починали жалбоподатели.</w:t>
      </w:r>
    </w:p>
    <w:bookmarkStart w:id="58" w:name="L_A_37_5"/>
    <w:p w:rsidR="0095532B" w:rsidRPr="00006A07" w:rsidRDefault="0095532B" w:rsidP="008D7A78">
      <w:pPr>
        <w:pStyle w:val="JuPara"/>
        <w:rPr>
          <w:lang w:val="bg-BG"/>
        </w:rPr>
      </w:pPr>
      <w:r w:rsidRPr="00006A07">
        <w:rPr>
          <w:lang w:val="bg-BG" w:eastAsia="en-US"/>
        </w:rPr>
        <w:fldChar w:fldCharType="begin"/>
      </w:r>
      <w:r w:rsidRPr="00006A07">
        <w:rPr>
          <w:lang w:val="bg-BG" w:eastAsia="en-US"/>
        </w:rPr>
        <w:instrText xml:space="preserve"> SEQ level0 \*arabic </w:instrText>
      </w:r>
      <w:r w:rsidRPr="00006A07">
        <w:rPr>
          <w:lang w:val="bg-BG" w:eastAsia="en-US"/>
        </w:rPr>
        <w:fldChar w:fldCharType="separate"/>
      </w:r>
      <w:r w:rsidRPr="00006A07">
        <w:rPr>
          <w:noProof/>
          <w:lang w:val="bg-BG" w:eastAsia="en-US"/>
        </w:rPr>
        <w:t>75</w:t>
      </w:r>
      <w:r w:rsidRPr="00006A07">
        <w:rPr>
          <w:lang w:val="bg-BG" w:eastAsia="en-US"/>
        </w:rPr>
        <w:fldChar w:fldCharType="end"/>
      </w:r>
      <w:bookmarkEnd w:id="58"/>
      <w:r w:rsidRPr="00006A07">
        <w:rPr>
          <w:lang w:val="bg-BG" w:eastAsia="en-US"/>
        </w:rPr>
        <w:t xml:space="preserve">.  С оглед на това заключение Съдът не счита за необходимо да разглежда въпроса дали зачитането на правата на човека изисква продължаване на разглеждането на жалбите, доколкото те се отнасят до четиримата починали жалбоподатели (вж. </w:t>
      </w:r>
      <w:proofErr w:type="spellStart"/>
      <w:r w:rsidRPr="00006A07">
        <w:rPr>
          <w:i/>
          <w:iCs/>
          <w:lang w:val="bg-BG" w:eastAsia="en-US"/>
        </w:rPr>
        <w:t>Karner</w:t>
      </w:r>
      <w:proofErr w:type="spellEnd"/>
      <w:r w:rsidRPr="00006A07">
        <w:rPr>
          <w:i/>
          <w:iCs/>
          <w:lang w:val="bg-BG" w:eastAsia="en-US"/>
        </w:rPr>
        <w:t xml:space="preserve"> v. </w:t>
      </w:r>
      <w:proofErr w:type="spellStart"/>
      <w:r w:rsidRPr="00006A07">
        <w:rPr>
          <w:i/>
          <w:iCs/>
          <w:lang w:val="bg-BG" w:eastAsia="en-US"/>
        </w:rPr>
        <w:t>Austria</w:t>
      </w:r>
      <w:proofErr w:type="spellEnd"/>
      <w:r w:rsidRPr="00006A07">
        <w:rPr>
          <w:lang w:val="bg-BG" w:eastAsia="en-US"/>
        </w:rPr>
        <w:t>,</w:t>
      </w:r>
      <w:proofErr w:type="spellStart"/>
      <w:r w:rsidRPr="00006A07">
        <w:rPr>
          <w:lang w:val="bg-BG" w:eastAsia="en-US"/>
        </w:rPr>
        <w:t>no</w:t>
      </w:r>
      <w:proofErr w:type="spellEnd"/>
      <w:r w:rsidRPr="00006A07">
        <w:rPr>
          <w:lang w:val="bg-BG" w:eastAsia="en-US"/>
        </w:rPr>
        <w:t>. 40016/98, § 25, ECHR 2003</w:t>
      </w:r>
      <w:r w:rsidRPr="00006A07">
        <w:rPr>
          <w:lang w:val="bg-BG" w:eastAsia="en-US"/>
        </w:rPr>
        <w:noBreakHyphen/>
        <w:t xml:space="preserve">IX, </w:t>
      </w:r>
      <w:proofErr w:type="spellStart"/>
      <w:r w:rsidRPr="00006A07">
        <w:rPr>
          <w:lang w:val="bg-BG" w:eastAsia="en-US"/>
        </w:rPr>
        <w:t>and</w:t>
      </w:r>
      <w:proofErr w:type="spellEnd"/>
      <w:r w:rsidRPr="00006A07">
        <w:rPr>
          <w:lang w:val="bg-BG" w:eastAsia="en-US"/>
        </w:rPr>
        <w:t xml:space="preserve"> </w:t>
      </w:r>
      <w:proofErr w:type="spellStart"/>
      <w:r w:rsidRPr="00006A07">
        <w:rPr>
          <w:i/>
          <w:iCs/>
          <w:lang w:val="bg-BG" w:eastAsia="en-US"/>
        </w:rPr>
        <w:t>Hirsi</w:t>
      </w:r>
      <w:proofErr w:type="spellEnd"/>
      <w:r w:rsidRPr="00006A07">
        <w:rPr>
          <w:i/>
          <w:iCs/>
          <w:lang w:val="bg-BG" w:eastAsia="en-US"/>
        </w:rPr>
        <w:t xml:space="preserve"> </w:t>
      </w:r>
      <w:proofErr w:type="spellStart"/>
      <w:r w:rsidRPr="00006A07">
        <w:rPr>
          <w:i/>
          <w:iCs/>
          <w:lang w:val="bg-BG" w:eastAsia="en-US"/>
        </w:rPr>
        <w:t>Jamaa</w:t>
      </w:r>
      <w:proofErr w:type="spellEnd"/>
      <w:r w:rsidRPr="00006A07">
        <w:rPr>
          <w:i/>
          <w:iCs/>
          <w:lang w:val="bg-BG" w:eastAsia="en-US"/>
        </w:rPr>
        <w:t xml:space="preserve"> </w:t>
      </w:r>
      <w:proofErr w:type="spellStart"/>
      <w:r w:rsidRPr="00006A07">
        <w:rPr>
          <w:i/>
          <w:iCs/>
          <w:lang w:val="bg-BG" w:eastAsia="en-US"/>
        </w:rPr>
        <w:t>and</w:t>
      </w:r>
      <w:proofErr w:type="spellEnd"/>
      <w:r w:rsidRPr="00006A07">
        <w:rPr>
          <w:i/>
          <w:iCs/>
          <w:lang w:val="bg-BG" w:eastAsia="en-US"/>
        </w:rPr>
        <w:t xml:space="preserve"> </w:t>
      </w:r>
      <w:proofErr w:type="spellStart"/>
      <w:r w:rsidRPr="00006A07">
        <w:rPr>
          <w:i/>
          <w:iCs/>
          <w:lang w:val="bg-BG" w:eastAsia="en-US"/>
        </w:rPr>
        <w:t>Others</w:t>
      </w:r>
      <w:proofErr w:type="spellEnd"/>
      <w:r w:rsidRPr="00006A07">
        <w:rPr>
          <w:i/>
          <w:iCs/>
          <w:lang w:val="bg-BG" w:eastAsia="en-US"/>
        </w:rPr>
        <w:t xml:space="preserve"> v. </w:t>
      </w:r>
      <w:proofErr w:type="spellStart"/>
      <w:r w:rsidRPr="00006A07">
        <w:rPr>
          <w:i/>
          <w:iCs/>
          <w:lang w:val="bg-BG" w:eastAsia="en-US"/>
        </w:rPr>
        <w:t>Italy</w:t>
      </w:r>
      <w:proofErr w:type="spellEnd"/>
      <w:r w:rsidRPr="00006A07">
        <w:rPr>
          <w:i/>
          <w:iCs/>
          <w:lang w:val="bg-BG" w:eastAsia="en-US"/>
        </w:rPr>
        <w:t xml:space="preserve"> </w:t>
      </w:r>
      <w:r w:rsidRPr="00006A07">
        <w:rPr>
          <w:lang w:val="bg-BG" w:eastAsia="en-US"/>
        </w:rPr>
        <w:t xml:space="preserve">[GC], </w:t>
      </w:r>
      <w:proofErr w:type="spellStart"/>
      <w:r w:rsidRPr="00006A07">
        <w:rPr>
          <w:lang w:val="bg-BG" w:eastAsia="en-US"/>
        </w:rPr>
        <w:t>no</w:t>
      </w:r>
      <w:proofErr w:type="spellEnd"/>
      <w:r w:rsidRPr="00006A07">
        <w:rPr>
          <w:lang w:val="bg-BG" w:eastAsia="en-US"/>
        </w:rPr>
        <w:t>. 27765/09</w:t>
      </w:r>
      <w:r w:rsidRPr="00006A07">
        <w:rPr>
          <w:snapToGrid w:val="0"/>
          <w:lang w:val="bg-BG" w:eastAsia="en-US"/>
        </w:rPr>
        <w:t>, § 58, 2</w:t>
      </w:r>
      <w:r w:rsidRPr="00006A07">
        <w:rPr>
          <w:lang w:val="bg-BG" w:eastAsia="en-US"/>
        </w:rPr>
        <w:t xml:space="preserve">3 </w:t>
      </w:r>
      <w:r w:rsidRPr="00006A07">
        <w:rPr>
          <w:snapToGrid w:val="0"/>
          <w:lang w:val="bg-BG" w:eastAsia="en-US"/>
        </w:rPr>
        <w:t>февруари 2012 г.).</w:t>
      </w:r>
    </w:p>
    <w:p w:rsidR="0095532B" w:rsidRPr="00006A07" w:rsidRDefault="0095532B" w:rsidP="008D7A78">
      <w:pPr>
        <w:pStyle w:val="JuHIRoman"/>
        <w:rPr>
          <w:lang w:val="bg-BG"/>
        </w:rPr>
      </w:pPr>
      <w:r w:rsidRPr="00006A07">
        <w:rPr>
          <w:lang w:val="bg-BG"/>
        </w:rPr>
        <w:lastRenderedPageBreak/>
        <w:t>II.  ДОПУСТИМОСТ НА ОПЛАКВАНИЯТА ПО ЧЛЕНОВЕ 2, 3 И 8 ОТ КОНВЕНЦИЯТА</w:t>
      </w:r>
    </w:p>
    <w:p w:rsidR="0095532B" w:rsidRPr="00006A07" w:rsidRDefault="0095532B" w:rsidP="008D7A78">
      <w:pPr>
        <w:pStyle w:val="JuHA"/>
        <w:rPr>
          <w:lang w:val="bg-BG"/>
        </w:rPr>
      </w:pPr>
      <w:r w:rsidRPr="00006A07">
        <w:rPr>
          <w:lang w:val="bg-BG"/>
        </w:rPr>
        <w:t>A.  Статут на жертвата</w:t>
      </w:r>
    </w:p>
    <w:p w:rsidR="0095532B" w:rsidRPr="00006A07" w:rsidRDefault="0095532B" w:rsidP="008D7A78">
      <w:pPr>
        <w:pStyle w:val="JuPara"/>
        <w:rPr>
          <w:lang w:val="bg-BG"/>
        </w:rPr>
      </w:pPr>
      <w:r w:rsidRPr="00006A07">
        <w:rPr>
          <w:lang w:val="bg-BG"/>
        </w:rPr>
        <w:fldChar w:fldCharType="begin"/>
      </w:r>
      <w:r w:rsidRPr="00006A07">
        <w:rPr>
          <w:lang w:val="bg-BG"/>
        </w:rPr>
        <w:instrText xml:space="preserve"> SEQ level0 \*arabic </w:instrText>
      </w:r>
      <w:r w:rsidRPr="00006A07">
        <w:rPr>
          <w:lang w:val="bg-BG"/>
        </w:rPr>
        <w:fldChar w:fldCharType="separate"/>
      </w:r>
      <w:r w:rsidRPr="00006A07">
        <w:rPr>
          <w:noProof/>
          <w:lang w:val="bg-BG"/>
        </w:rPr>
        <w:t>76</w:t>
      </w:r>
      <w:r w:rsidRPr="00006A07">
        <w:rPr>
          <w:lang w:val="bg-BG"/>
        </w:rPr>
        <w:fldChar w:fldCharType="end"/>
      </w:r>
      <w:r w:rsidRPr="00006A07">
        <w:rPr>
          <w:lang w:val="bg-BG"/>
        </w:rPr>
        <w:t>.  Правителството посочва, че жалбоподателите не биха могли да претендират, че са жертви на нарушение по три причини. Първо, те са получили адекватно медицинско лечение, не им е било отказано такова лечение и не е имало индикации, че здравословното им състояние се е влошило. Второ, българското право разрешава „</w:t>
      </w:r>
      <w:proofErr w:type="spellStart"/>
      <w:r w:rsidRPr="00006A07">
        <w:rPr>
          <w:lang w:val="bg-BG"/>
        </w:rPr>
        <w:t>палиативната</w:t>
      </w:r>
      <w:proofErr w:type="spellEnd"/>
      <w:r w:rsidRPr="00006A07">
        <w:rPr>
          <w:lang w:val="bg-BG"/>
        </w:rPr>
        <w:t xml:space="preserve"> употреба“ на неразрешени за употреба лекарствени продукти. Трето, жалбоподателите не са се включили в клинично изпитване, което би им позволило достъп до такива продукти. Съгласно правото на Европейския съюз няма задължение, а само препоръка, да се следва хармонизиран подход за „</w:t>
      </w:r>
      <w:proofErr w:type="spellStart"/>
      <w:r w:rsidRPr="00006A07">
        <w:rPr>
          <w:lang w:val="bg-BG"/>
        </w:rPr>
        <w:t>палиативната</w:t>
      </w:r>
      <w:proofErr w:type="spellEnd"/>
      <w:r w:rsidRPr="00006A07">
        <w:rPr>
          <w:lang w:val="bg-BG"/>
        </w:rPr>
        <w:t xml:space="preserve"> употреба“ на неразрешени за употреба лекарствени продукти. </w:t>
      </w:r>
      <w:proofErr w:type="spellStart"/>
      <w:r w:rsidRPr="00006A07">
        <w:rPr>
          <w:lang w:val="bg-BG"/>
        </w:rPr>
        <w:t>MBVax</w:t>
      </w:r>
      <w:proofErr w:type="spellEnd"/>
      <w:r w:rsidRPr="00006A07">
        <w:rPr>
          <w:lang w:val="bg-BG"/>
        </w:rPr>
        <w:t xml:space="preserve"> </w:t>
      </w:r>
      <w:proofErr w:type="spellStart"/>
      <w:r w:rsidRPr="00006A07">
        <w:rPr>
          <w:lang w:val="bg-BG"/>
        </w:rPr>
        <w:t>Coley</w:t>
      </w:r>
      <w:proofErr w:type="spellEnd"/>
      <w:r w:rsidRPr="00006A07">
        <w:rPr>
          <w:lang w:val="bg-BG"/>
        </w:rPr>
        <w:t xml:space="preserve"> </w:t>
      </w:r>
      <w:proofErr w:type="spellStart"/>
      <w:r w:rsidRPr="00006A07">
        <w:rPr>
          <w:lang w:val="bg-BG"/>
        </w:rPr>
        <w:t>Fluid</w:t>
      </w:r>
      <w:proofErr w:type="spellEnd"/>
      <w:r w:rsidRPr="00006A07">
        <w:rPr>
          <w:lang w:val="bg-BG"/>
        </w:rPr>
        <w:t xml:space="preserve"> не е бил разрешен за употреба в нито една държава и не е отговарял на критериите за „</w:t>
      </w:r>
      <w:proofErr w:type="spellStart"/>
      <w:r w:rsidRPr="00006A07">
        <w:rPr>
          <w:lang w:val="bg-BG"/>
        </w:rPr>
        <w:t>палиативна</w:t>
      </w:r>
      <w:proofErr w:type="spellEnd"/>
      <w:r w:rsidRPr="00006A07">
        <w:rPr>
          <w:lang w:val="bg-BG"/>
        </w:rPr>
        <w:t xml:space="preserve"> употреба“ съгласно правото на Европейския съюз.</w:t>
      </w:r>
    </w:p>
    <w:p w:rsidR="0095532B" w:rsidRPr="00006A07" w:rsidRDefault="0095532B" w:rsidP="008D7A78">
      <w:pPr>
        <w:pStyle w:val="JuPara"/>
        <w:rPr>
          <w:lang w:val="bg-BG"/>
        </w:rPr>
      </w:pPr>
      <w:r w:rsidRPr="00006A07">
        <w:rPr>
          <w:lang w:val="bg-BG"/>
        </w:rPr>
        <w:fldChar w:fldCharType="begin"/>
      </w:r>
      <w:r w:rsidRPr="00006A07">
        <w:rPr>
          <w:lang w:val="bg-BG"/>
        </w:rPr>
        <w:instrText xml:space="preserve"> SEQ level0 \*arabic </w:instrText>
      </w:r>
      <w:r w:rsidRPr="00006A07">
        <w:rPr>
          <w:lang w:val="bg-BG"/>
        </w:rPr>
        <w:fldChar w:fldCharType="separate"/>
      </w:r>
      <w:r w:rsidRPr="00006A07">
        <w:rPr>
          <w:noProof/>
          <w:lang w:val="bg-BG"/>
        </w:rPr>
        <w:t>77</w:t>
      </w:r>
      <w:r w:rsidRPr="00006A07">
        <w:rPr>
          <w:lang w:val="bg-BG"/>
        </w:rPr>
        <w:fldChar w:fldCharType="end"/>
      </w:r>
      <w:r w:rsidRPr="00006A07">
        <w:rPr>
          <w:lang w:val="bg-BG"/>
        </w:rPr>
        <w:t xml:space="preserve">.  Освен това Правителството твърди, че г-жа </w:t>
      </w:r>
      <w:proofErr w:type="spellStart"/>
      <w:r w:rsidRPr="00006A07">
        <w:rPr>
          <w:lang w:val="bg-BG"/>
        </w:rPr>
        <w:t>Стайкова-Петерман</w:t>
      </w:r>
      <w:proofErr w:type="spellEnd"/>
      <w:r w:rsidRPr="00006A07">
        <w:rPr>
          <w:lang w:val="bg-BG"/>
        </w:rPr>
        <w:t xml:space="preserve"> не може да твърди от свое име, че е жертва на нарушение.</w:t>
      </w:r>
    </w:p>
    <w:p w:rsidR="0095532B" w:rsidRPr="00006A07" w:rsidRDefault="0095532B" w:rsidP="008D7A78">
      <w:pPr>
        <w:pStyle w:val="JuPara"/>
        <w:rPr>
          <w:lang w:val="bg-BG"/>
        </w:rPr>
      </w:pPr>
      <w:r w:rsidRPr="00006A07">
        <w:rPr>
          <w:lang w:val="bg-BG"/>
        </w:rPr>
        <w:fldChar w:fldCharType="begin"/>
      </w:r>
      <w:r w:rsidRPr="00006A07">
        <w:rPr>
          <w:lang w:val="bg-BG"/>
        </w:rPr>
        <w:instrText xml:space="preserve"> SEQ level0 \*arabic </w:instrText>
      </w:r>
      <w:r w:rsidRPr="00006A07">
        <w:rPr>
          <w:lang w:val="bg-BG"/>
        </w:rPr>
        <w:fldChar w:fldCharType="separate"/>
      </w:r>
      <w:r w:rsidRPr="00006A07">
        <w:rPr>
          <w:noProof/>
          <w:lang w:val="bg-BG"/>
        </w:rPr>
        <w:t>78</w:t>
      </w:r>
      <w:r w:rsidRPr="00006A07">
        <w:rPr>
          <w:lang w:val="bg-BG"/>
        </w:rPr>
        <w:fldChar w:fldCharType="end"/>
      </w:r>
      <w:r w:rsidRPr="00006A07">
        <w:rPr>
          <w:lang w:val="bg-BG"/>
        </w:rPr>
        <w:t>.  Жалбоподателите не представят коментари по тези въпроси.</w:t>
      </w:r>
    </w:p>
    <w:p w:rsidR="0095532B" w:rsidRPr="00006A07" w:rsidRDefault="0095532B" w:rsidP="008D7A78">
      <w:pPr>
        <w:pStyle w:val="JuPara"/>
        <w:rPr>
          <w:lang w:val="bg-BG"/>
        </w:rPr>
      </w:pPr>
      <w:r w:rsidRPr="00006A07">
        <w:rPr>
          <w:lang w:val="bg-BG"/>
        </w:rPr>
        <w:fldChar w:fldCharType="begin"/>
      </w:r>
      <w:r w:rsidRPr="00006A07">
        <w:rPr>
          <w:lang w:val="bg-BG"/>
        </w:rPr>
        <w:instrText xml:space="preserve"> SEQ level0 \*arabic </w:instrText>
      </w:r>
      <w:r w:rsidRPr="00006A07">
        <w:rPr>
          <w:lang w:val="bg-BG"/>
        </w:rPr>
        <w:fldChar w:fldCharType="separate"/>
      </w:r>
      <w:r w:rsidRPr="00006A07">
        <w:rPr>
          <w:noProof/>
          <w:lang w:val="bg-BG"/>
        </w:rPr>
        <w:t>79</w:t>
      </w:r>
      <w:r w:rsidRPr="00006A07">
        <w:rPr>
          <w:lang w:val="bg-BG"/>
        </w:rPr>
        <w:fldChar w:fldCharType="end"/>
      </w:r>
      <w:r w:rsidRPr="00006A07">
        <w:rPr>
          <w:lang w:val="bg-BG"/>
        </w:rPr>
        <w:t xml:space="preserve">.  Съдът отбелязва, че въпросите, повдигнати в първия аспект от възражението на Правителството, са тясно свързани със съществото на оплакванията (вж., </w:t>
      </w:r>
      <w:proofErr w:type="spellStart"/>
      <w:r w:rsidRPr="00006A07">
        <w:rPr>
          <w:i/>
          <w:iCs/>
          <w:lang w:val="bg-BG"/>
        </w:rPr>
        <w:t>mutatis</w:t>
      </w:r>
      <w:proofErr w:type="spellEnd"/>
      <w:r w:rsidRPr="00006A07">
        <w:rPr>
          <w:i/>
          <w:iCs/>
          <w:lang w:val="bg-BG"/>
        </w:rPr>
        <w:t xml:space="preserve"> </w:t>
      </w:r>
      <w:proofErr w:type="spellStart"/>
      <w:r w:rsidRPr="00006A07">
        <w:rPr>
          <w:i/>
          <w:iCs/>
          <w:lang w:val="bg-BG"/>
        </w:rPr>
        <w:t>mutandis</w:t>
      </w:r>
      <w:proofErr w:type="spellEnd"/>
      <w:r w:rsidRPr="00006A07">
        <w:rPr>
          <w:lang w:val="bg-BG"/>
        </w:rPr>
        <w:t xml:space="preserve">, </w:t>
      </w:r>
      <w:proofErr w:type="spellStart"/>
      <w:r w:rsidRPr="00006A07">
        <w:rPr>
          <w:i/>
          <w:iCs/>
          <w:lang w:val="bg-BG" w:eastAsia="en-US"/>
        </w:rPr>
        <w:t>Doğan</w:t>
      </w:r>
      <w:proofErr w:type="spellEnd"/>
      <w:r w:rsidRPr="00006A07">
        <w:rPr>
          <w:i/>
          <w:iCs/>
          <w:lang w:val="bg-BG" w:eastAsia="en-US"/>
        </w:rPr>
        <w:t xml:space="preserve"> </w:t>
      </w:r>
      <w:proofErr w:type="spellStart"/>
      <w:r w:rsidRPr="00006A07">
        <w:rPr>
          <w:i/>
          <w:iCs/>
          <w:lang w:val="bg-BG" w:eastAsia="en-US"/>
        </w:rPr>
        <w:t>and</w:t>
      </w:r>
      <w:proofErr w:type="spellEnd"/>
      <w:r w:rsidRPr="00006A07">
        <w:rPr>
          <w:i/>
          <w:iCs/>
          <w:lang w:val="bg-BG" w:eastAsia="en-US"/>
        </w:rPr>
        <w:t xml:space="preserve"> </w:t>
      </w:r>
      <w:proofErr w:type="spellStart"/>
      <w:r w:rsidRPr="00006A07">
        <w:rPr>
          <w:i/>
          <w:iCs/>
          <w:lang w:val="bg-BG" w:eastAsia="en-US"/>
        </w:rPr>
        <w:t>Others</w:t>
      </w:r>
      <w:proofErr w:type="spellEnd"/>
      <w:r w:rsidRPr="00006A07">
        <w:rPr>
          <w:i/>
          <w:iCs/>
          <w:lang w:val="bg-BG" w:eastAsia="en-US"/>
        </w:rPr>
        <w:t xml:space="preserve"> v. </w:t>
      </w:r>
      <w:proofErr w:type="spellStart"/>
      <w:r w:rsidRPr="00006A07">
        <w:rPr>
          <w:i/>
          <w:iCs/>
          <w:lang w:val="bg-BG" w:eastAsia="en-US"/>
        </w:rPr>
        <w:t>Turkey</w:t>
      </w:r>
      <w:proofErr w:type="spellEnd"/>
      <w:r w:rsidRPr="00006A07">
        <w:rPr>
          <w:lang w:val="bg-BG" w:eastAsia="en-US"/>
        </w:rPr>
        <w:t xml:space="preserve">, </w:t>
      </w:r>
      <w:proofErr w:type="spellStart"/>
      <w:r w:rsidRPr="00006A07">
        <w:rPr>
          <w:lang w:val="bg-BG" w:eastAsia="en-US"/>
        </w:rPr>
        <w:t>nos</w:t>
      </w:r>
      <w:proofErr w:type="spellEnd"/>
      <w:r w:rsidRPr="00006A07">
        <w:rPr>
          <w:lang w:val="bg-BG" w:eastAsia="en-US"/>
        </w:rPr>
        <w:t>. 8803</w:t>
      </w:r>
      <w:r w:rsidRPr="00006A07">
        <w:rPr>
          <w:lang w:val="bg-BG" w:eastAsia="en-US"/>
        </w:rPr>
        <w:noBreakHyphen/>
        <w:t>8811/02, 8813/02 и 8815</w:t>
      </w:r>
      <w:r w:rsidRPr="00006A07">
        <w:rPr>
          <w:lang w:val="bg-BG" w:eastAsia="en-US"/>
        </w:rPr>
        <w:noBreakHyphen/>
        <w:t>8819/02, § 93, ECHR 2004</w:t>
      </w:r>
      <w:r w:rsidRPr="00006A07">
        <w:rPr>
          <w:lang w:val="bg-BG" w:eastAsia="en-US"/>
        </w:rPr>
        <w:noBreakHyphen/>
        <w:t>VI (</w:t>
      </w:r>
      <w:proofErr w:type="spellStart"/>
      <w:r w:rsidRPr="00006A07">
        <w:rPr>
          <w:lang w:val="bg-BG" w:eastAsia="en-US"/>
        </w:rPr>
        <w:t>extracts</w:t>
      </w:r>
      <w:proofErr w:type="spellEnd"/>
      <w:r w:rsidRPr="00006A07">
        <w:rPr>
          <w:lang w:val="bg-BG" w:eastAsia="en-US"/>
        </w:rPr>
        <w:t xml:space="preserve">); </w:t>
      </w:r>
      <w:proofErr w:type="spellStart"/>
      <w:r w:rsidRPr="00006A07">
        <w:rPr>
          <w:i/>
          <w:iCs/>
          <w:lang w:val="bg-BG" w:eastAsia="en-US"/>
        </w:rPr>
        <w:t>Al</w:t>
      </w:r>
      <w:r>
        <w:rPr>
          <w:i/>
          <w:iCs/>
          <w:lang w:val="bg-BG" w:eastAsia="en-US"/>
        </w:rPr>
        <w:t>-</w:t>
      </w:r>
      <w:r w:rsidRPr="00006A07">
        <w:rPr>
          <w:i/>
          <w:iCs/>
          <w:lang w:val="bg-BG" w:eastAsia="en-US"/>
        </w:rPr>
        <w:t>Skeini</w:t>
      </w:r>
      <w:proofErr w:type="spellEnd"/>
      <w:r w:rsidRPr="00006A07">
        <w:rPr>
          <w:i/>
          <w:iCs/>
          <w:lang w:val="bg-BG" w:eastAsia="en-US"/>
        </w:rPr>
        <w:t xml:space="preserve"> </w:t>
      </w:r>
      <w:proofErr w:type="spellStart"/>
      <w:r w:rsidRPr="00006A07">
        <w:rPr>
          <w:i/>
          <w:iCs/>
          <w:lang w:val="bg-BG" w:eastAsia="en-US"/>
        </w:rPr>
        <w:t>and</w:t>
      </w:r>
      <w:proofErr w:type="spellEnd"/>
      <w:r w:rsidRPr="00006A07">
        <w:rPr>
          <w:i/>
          <w:iCs/>
          <w:lang w:val="bg-BG" w:eastAsia="en-US"/>
        </w:rPr>
        <w:t xml:space="preserve"> </w:t>
      </w:r>
      <w:proofErr w:type="spellStart"/>
      <w:r w:rsidRPr="00006A07">
        <w:rPr>
          <w:i/>
          <w:iCs/>
          <w:lang w:val="bg-BG" w:eastAsia="en-US"/>
        </w:rPr>
        <w:t>Others</w:t>
      </w:r>
      <w:proofErr w:type="spellEnd"/>
      <w:r w:rsidRPr="00006A07">
        <w:rPr>
          <w:i/>
          <w:iCs/>
          <w:lang w:val="bg-BG" w:eastAsia="en-US"/>
        </w:rPr>
        <w:t xml:space="preserve"> v. </w:t>
      </w:r>
      <w:proofErr w:type="spellStart"/>
      <w:r w:rsidRPr="00006A07">
        <w:rPr>
          <w:i/>
          <w:iCs/>
          <w:lang w:val="bg-BG" w:eastAsia="en-US"/>
        </w:rPr>
        <w:t>the</w:t>
      </w:r>
      <w:proofErr w:type="spellEnd"/>
      <w:r w:rsidRPr="00006A07">
        <w:rPr>
          <w:i/>
          <w:iCs/>
          <w:lang w:val="bg-BG" w:eastAsia="en-US"/>
        </w:rPr>
        <w:t xml:space="preserve"> </w:t>
      </w:r>
      <w:proofErr w:type="spellStart"/>
      <w:r w:rsidRPr="00006A07">
        <w:rPr>
          <w:i/>
          <w:iCs/>
          <w:lang w:val="bg-BG" w:eastAsia="en-US"/>
        </w:rPr>
        <w:t>United</w:t>
      </w:r>
      <w:proofErr w:type="spellEnd"/>
      <w:r w:rsidRPr="00006A07">
        <w:rPr>
          <w:i/>
          <w:iCs/>
          <w:lang w:val="bg-BG" w:eastAsia="en-US"/>
        </w:rPr>
        <w:t xml:space="preserve"> </w:t>
      </w:r>
      <w:proofErr w:type="spellStart"/>
      <w:r w:rsidRPr="00006A07">
        <w:rPr>
          <w:i/>
          <w:iCs/>
          <w:lang w:val="bg-BG" w:eastAsia="en-US"/>
        </w:rPr>
        <w:t>Kingdom</w:t>
      </w:r>
      <w:proofErr w:type="spellEnd"/>
      <w:r w:rsidRPr="00006A07">
        <w:rPr>
          <w:i/>
          <w:iCs/>
          <w:lang w:val="bg-BG" w:eastAsia="en-US"/>
        </w:rPr>
        <w:t xml:space="preserve"> </w:t>
      </w:r>
      <w:r w:rsidRPr="00006A07">
        <w:rPr>
          <w:lang w:val="bg-BG" w:eastAsia="en-US"/>
        </w:rPr>
        <w:t xml:space="preserve">[GC], </w:t>
      </w:r>
      <w:proofErr w:type="spellStart"/>
      <w:r w:rsidRPr="00006A07">
        <w:rPr>
          <w:lang w:val="bg-BG" w:eastAsia="en-US"/>
        </w:rPr>
        <w:t>no</w:t>
      </w:r>
      <w:proofErr w:type="spellEnd"/>
      <w:r w:rsidRPr="00006A07">
        <w:rPr>
          <w:lang w:val="bg-BG" w:eastAsia="en-US"/>
        </w:rPr>
        <w:t>. 55721/07, §§ 106</w:t>
      </w:r>
      <w:r w:rsidRPr="00006A07">
        <w:rPr>
          <w:lang w:val="bg-BG" w:eastAsia="en-US"/>
        </w:rPr>
        <w:noBreakHyphen/>
        <w:t>07, ECHR 2011 г.</w:t>
      </w:r>
      <w:r w:rsidRPr="00006A07">
        <w:rPr>
          <w:lang w:val="bg-BG" w:eastAsia="en-US"/>
        </w:rPr>
        <w:noBreakHyphen/>
        <w:t xml:space="preserve">...; и </w:t>
      </w:r>
      <w:proofErr w:type="spellStart"/>
      <w:r w:rsidRPr="00006A07">
        <w:rPr>
          <w:i/>
          <w:iCs/>
          <w:lang w:val="bg-BG" w:eastAsia="en-US"/>
        </w:rPr>
        <w:t>Hirsi</w:t>
      </w:r>
      <w:proofErr w:type="spellEnd"/>
      <w:r w:rsidRPr="00006A07">
        <w:rPr>
          <w:i/>
          <w:iCs/>
          <w:lang w:val="bg-BG" w:eastAsia="en-US"/>
        </w:rPr>
        <w:t xml:space="preserve"> </w:t>
      </w:r>
      <w:proofErr w:type="spellStart"/>
      <w:r w:rsidRPr="00006A07">
        <w:rPr>
          <w:i/>
          <w:iCs/>
          <w:lang w:val="bg-BG" w:eastAsia="en-US"/>
        </w:rPr>
        <w:t>Jamaa</w:t>
      </w:r>
      <w:proofErr w:type="spellEnd"/>
      <w:r w:rsidRPr="00006A07">
        <w:rPr>
          <w:i/>
          <w:iCs/>
          <w:lang w:val="bg-BG" w:eastAsia="en-US"/>
        </w:rPr>
        <w:t xml:space="preserve"> </w:t>
      </w:r>
      <w:proofErr w:type="spellStart"/>
      <w:r w:rsidRPr="00006A07">
        <w:rPr>
          <w:i/>
          <w:iCs/>
          <w:lang w:val="bg-BG" w:eastAsia="en-US"/>
        </w:rPr>
        <w:t>and</w:t>
      </w:r>
      <w:proofErr w:type="spellEnd"/>
      <w:r w:rsidRPr="00006A07">
        <w:rPr>
          <w:i/>
          <w:iCs/>
          <w:lang w:val="bg-BG" w:eastAsia="en-US"/>
        </w:rPr>
        <w:t xml:space="preserve"> </w:t>
      </w:r>
      <w:proofErr w:type="spellStart"/>
      <w:r w:rsidRPr="00006A07">
        <w:rPr>
          <w:i/>
          <w:iCs/>
          <w:lang w:val="bg-BG" w:eastAsia="en-US"/>
        </w:rPr>
        <w:t>Others</w:t>
      </w:r>
      <w:proofErr w:type="spellEnd"/>
      <w:r w:rsidRPr="00006A07">
        <w:rPr>
          <w:lang w:val="bg-BG" w:eastAsia="en-US"/>
        </w:rPr>
        <w:t>, цитирани по-горе, § 111</w:t>
      </w:r>
      <w:r w:rsidRPr="00006A07">
        <w:rPr>
          <w:lang w:val="bg-BG"/>
        </w:rPr>
        <w:t>). Поради това Съдът ще се занимае с тези въпроси, когато разглежда оплакванията по същество.</w:t>
      </w:r>
    </w:p>
    <w:p w:rsidR="0095532B" w:rsidRPr="00006A07" w:rsidRDefault="0095532B" w:rsidP="008D7A78">
      <w:pPr>
        <w:pStyle w:val="JuPara"/>
        <w:rPr>
          <w:lang w:val="bg-BG"/>
        </w:rPr>
      </w:pPr>
      <w:r w:rsidRPr="00006A07">
        <w:rPr>
          <w:lang w:val="bg-BG"/>
        </w:rPr>
        <w:fldChar w:fldCharType="begin"/>
      </w:r>
      <w:r w:rsidRPr="00006A07">
        <w:rPr>
          <w:lang w:val="bg-BG"/>
        </w:rPr>
        <w:instrText xml:space="preserve"> SEQ level0 \*arabic </w:instrText>
      </w:r>
      <w:r w:rsidRPr="00006A07">
        <w:rPr>
          <w:lang w:val="bg-BG"/>
        </w:rPr>
        <w:fldChar w:fldCharType="separate"/>
      </w:r>
      <w:r w:rsidRPr="00006A07">
        <w:rPr>
          <w:noProof/>
          <w:lang w:val="bg-BG"/>
        </w:rPr>
        <w:t>80</w:t>
      </w:r>
      <w:r w:rsidRPr="00006A07">
        <w:rPr>
          <w:lang w:val="bg-BG"/>
        </w:rPr>
        <w:fldChar w:fldCharType="end"/>
      </w:r>
      <w:r w:rsidRPr="00006A07">
        <w:rPr>
          <w:lang w:val="bg-BG"/>
        </w:rPr>
        <w:t xml:space="preserve">.  Относно втория аспект на възражението, Съдът намира, че за съжаление, при това стечение на обстоятелствата въпросът дали г-жа </w:t>
      </w:r>
      <w:proofErr w:type="spellStart"/>
      <w:r w:rsidRPr="00006A07">
        <w:rPr>
          <w:lang w:val="bg-BG"/>
        </w:rPr>
        <w:t>Стайкова-Петерман</w:t>
      </w:r>
      <w:proofErr w:type="spellEnd"/>
      <w:r w:rsidRPr="00006A07">
        <w:rPr>
          <w:lang w:val="bg-BG"/>
        </w:rPr>
        <w:t xml:space="preserve"> може лично да претендира, че е жертва, няма практическо значение, тъй като нейният покоен син също е бил жалбоподател и тъй като след неговата смърт тя изразява желание да води производството вместо него, и Съдът приема, че тя има право на това (вж. параграфи </w:t>
      </w:r>
      <w:r w:rsidRPr="00006A07">
        <w:rPr>
          <w:lang w:val="bg-BG"/>
        </w:rPr>
        <w:fldChar w:fldCharType="begin"/>
      </w:r>
      <w:r w:rsidRPr="00006A07">
        <w:rPr>
          <w:lang w:val="bg-BG"/>
        </w:rPr>
        <w:instrText xml:space="preserve"> REF P_applicants_heirs \h </w:instrText>
      </w:r>
      <w:r w:rsidRPr="00006A07">
        <w:rPr>
          <w:lang w:val="bg-BG"/>
        </w:rPr>
      </w:r>
      <w:r w:rsidRPr="00006A07">
        <w:rPr>
          <w:lang w:val="bg-BG"/>
        </w:rPr>
        <w:fldChar w:fldCharType="separate"/>
      </w:r>
      <w:r w:rsidRPr="00006A07">
        <w:rPr>
          <w:noProof/>
          <w:lang w:val="bg-BG"/>
        </w:rPr>
        <w:t>4</w:t>
      </w:r>
      <w:r w:rsidRPr="00006A07">
        <w:rPr>
          <w:lang w:val="bg-BG"/>
        </w:rPr>
        <w:fldChar w:fldCharType="end"/>
      </w:r>
      <w:r w:rsidRPr="00006A07">
        <w:rPr>
          <w:lang w:val="bg-BG"/>
        </w:rPr>
        <w:t xml:space="preserve">, </w:t>
      </w:r>
      <w:r w:rsidRPr="00006A07">
        <w:rPr>
          <w:lang w:val="bg-BG"/>
        </w:rPr>
        <w:fldChar w:fldCharType="begin"/>
      </w:r>
      <w:r w:rsidRPr="00006A07">
        <w:rPr>
          <w:lang w:val="bg-BG"/>
        </w:rPr>
        <w:instrText xml:space="preserve"> REF L_A_37_3 \h </w:instrText>
      </w:r>
      <w:r w:rsidRPr="00006A07">
        <w:rPr>
          <w:lang w:val="bg-BG"/>
        </w:rPr>
      </w:r>
      <w:r w:rsidRPr="00006A07">
        <w:rPr>
          <w:lang w:val="bg-BG"/>
        </w:rPr>
        <w:fldChar w:fldCharType="separate"/>
      </w:r>
      <w:r w:rsidRPr="00006A07">
        <w:rPr>
          <w:noProof/>
          <w:lang w:val="bg-BG"/>
        </w:rPr>
        <w:t>73</w:t>
      </w:r>
      <w:r w:rsidRPr="00006A07">
        <w:rPr>
          <w:lang w:val="bg-BG"/>
        </w:rPr>
        <w:fldChar w:fldCharType="end"/>
      </w:r>
      <w:r w:rsidRPr="00006A07">
        <w:rPr>
          <w:lang w:val="bg-BG"/>
        </w:rPr>
        <w:t xml:space="preserve"> и </w:t>
      </w:r>
      <w:r w:rsidRPr="00006A07">
        <w:rPr>
          <w:lang w:val="bg-BG"/>
        </w:rPr>
        <w:fldChar w:fldCharType="begin"/>
      </w:r>
      <w:r w:rsidRPr="00006A07">
        <w:rPr>
          <w:lang w:val="bg-BG"/>
        </w:rPr>
        <w:instrText xml:space="preserve"> REF L_A_37_4 \h </w:instrText>
      </w:r>
      <w:r w:rsidRPr="00006A07">
        <w:rPr>
          <w:lang w:val="bg-BG"/>
        </w:rPr>
      </w:r>
      <w:r w:rsidRPr="00006A07">
        <w:rPr>
          <w:lang w:val="bg-BG"/>
        </w:rPr>
        <w:fldChar w:fldCharType="separate"/>
      </w:r>
      <w:r w:rsidRPr="00006A07">
        <w:rPr>
          <w:noProof/>
          <w:lang w:val="bg-BG" w:eastAsia="en-US"/>
        </w:rPr>
        <w:t>74</w:t>
      </w:r>
      <w:r w:rsidRPr="00006A07">
        <w:rPr>
          <w:lang w:val="bg-BG"/>
        </w:rPr>
        <w:fldChar w:fldCharType="end"/>
      </w:r>
      <w:r w:rsidRPr="00006A07">
        <w:rPr>
          <w:lang w:val="bg-BG"/>
        </w:rPr>
        <w:t xml:space="preserve"> по-горе, и </w:t>
      </w:r>
      <w:proofErr w:type="spellStart"/>
      <w:r w:rsidRPr="00006A07">
        <w:rPr>
          <w:i/>
          <w:iCs/>
          <w:lang w:val="bg-BG" w:eastAsia="en-US"/>
        </w:rPr>
        <w:t>Georgel</w:t>
      </w:r>
      <w:proofErr w:type="spellEnd"/>
      <w:r w:rsidRPr="00006A07">
        <w:rPr>
          <w:i/>
          <w:iCs/>
          <w:lang w:val="bg-BG" w:eastAsia="en-US"/>
        </w:rPr>
        <w:t xml:space="preserve"> </w:t>
      </w:r>
      <w:proofErr w:type="spellStart"/>
      <w:r w:rsidRPr="00006A07">
        <w:rPr>
          <w:i/>
          <w:iCs/>
          <w:lang w:val="bg-BG" w:eastAsia="en-US"/>
        </w:rPr>
        <w:t>and</w:t>
      </w:r>
      <w:proofErr w:type="spellEnd"/>
      <w:r w:rsidRPr="00006A07">
        <w:rPr>
          <w:i/>
          <w:iCs/>
          <w:lang w:val="bg-BG" w:eastAsia="en-US"/>
        </w:rPr>
        <w:t xml:space="preserve"> </w:t>
      </w:r>
      <w:proofErr w:type="spellStart"/>
      <w:r w:rsidRPr="00006A07">
        <w:rPr>
          <w:i/>
          <w:iCs/>
          <w:lang w:val="bg-BG" w:eastAsia="en-US"/>
        </w:rPr>
        <w:t>Georgeta</w:t>
      </w:r>
      <w:proofErr w:type="spellEnd"/>
      <w:r w:rsidRPr="00006A07">
        <w:rPr>
          <w:i/>
          <w:iCs/>
          <w:lang w:val="bg-BG" w:eastAsia="en-US"/>
        </w:rPr>
        <w:t xml:space="preserve"> </w:t>
      </w:r>
      <w:proofErr w:type="spellStart"/>
      <w:r w:rsidRPr="00006A07">
        <w:rPr>
          <w:i/>
          <w:iCs/>
          <w:lang w:val="bg-BG" w:eastAsia="en-US"/>
        </w:rPr>
        <w:t>Stoicescu</w:t>
      </w:r>
      <w:proofErr w:type="spellEnd"/>
      <w:r w:rsidRPr="00006A07">
        <w:rPr>
          <w:i/>
          <w:iCs/>
          <w:lang w:val="bg-BG" w:eastAsia="en-US"/>
        </w:rPr>
        <w:t xml:space="preserve"> v. </w:t>
      </w:r>
      <w:proofErr w:type="spellStart"/>
      <w:r w:rsidRPr="00006A07">
        <w:rPr>
          <w:i/>
          <w:iCs/>
          <w:lang w:val="bg-BG" w:eastAsia="en-US"/>
        </w:rPr>
        <w:t>Romania</w:t>
      </w:r>
      <w:proofErr w:type="spellEnd"/>
      <w:r w:rsidRPr="00006A07">
        <w:rPr>
          <w:lang w:val="bg-BG" w:eastAsia="en-US"/>
        </w:rPr>
        <w:t xml:space="preserve">, </w:t>
      </w:r>
      <w:proofErr w:type="spellStart"/>
      <w:r w:rsidRPr="00006A07">
        <w:rPr>
          <w:lang w:val="bg-BG" w:eastAsia="en-US"/>
        </w:rPr>
        <w:t>no</w:t>
      </w:r>
      <w:proofErr w:type="spellEnd"/>
      <w:r w:rsidRPr="00006A07">
        <w:rPr>
          <w:lang w:val="bg-BG" w:eastAsia="en-US"/>
        </w:rPr>
        <w:t>. 9718/03</w:t>
      </w:r>
      <w:r w:rsidRPr="00006A07">
        <w:rPr>
          <w:snapToGrid w:val="0"/>
          <w:lang w:val="bg-BG" w:eastAsia="en-US"/>
        </w:rPr>
        <w:t>, §§ 41</w:t>
      </w:r>
      <w:r>
        <w:rPr>
          <w:snapToGrid w:val="0"/>
          <w:lang w:val="bg-BG" w:eastAsia="en-US"/>
        </w:rPr>
        <w:t xml:space="preserve"> </w:t>
      </w:r>
      <w:r w:rsidRPr="00006A07">
        <w:rPr>
          <w:snapToGrid w:val="0"/>
          <w:lang w:val="bg-BG" w:eastAsia="en-US"/>
        </w:rPr>
        <w:noBreakHyphen/>
      </w:r>
      <w:r>
        <w:rPr>
          <w:snapToGrid w:val="0"/>
          <w:lang w:val="bg-BG" w:eastAsia="en-US"/>
        </w:rPr>
        <w:t xml:space="preserve"> </w:t>
      </w:r>
      <w:r w:rsidRPr="00006A07">
        <w:rPr>
          <w:snapToGrid w:val="0"/>
          <w:lang w:val="bg-BG" w:eastAsia="en-US"/>
        </w:rPr>
        <w:t>43, 26 юли 2011 г.</w:t>
      </w:r>
      <w:r w:rsidRPr="00006A07">
        <w:rPr>
          <w:lang w:val="bg-BG"/>
        </w:rPr>
        <w:t>).</w:t>
      </w:r>
    </w:p>
    <w:p w:rsidR="0095532B" w:rsidRPr="00006A07" w:rsidRDefault="0095532B" w:rsidP="008D7A78">
      <w:pPr>
        <w:pStyle w:val="JuPara"/>
        <w:rPr>
          <w:lang w:val="bg-BG"/>
        </w:rPr>
      </w:pPr>
      <w:r w:rsidRPr="00006A07">
        <w:rPr>
          <w:lang w:val="bg-BG"/>
        </w:rPr>
        <w:fldChar w:fldCharType="begin"/>
      </w:r>
      <w:r w:rsidRPr="00006A07">
        <w:rPr>
          <w:lang w:val="bg-BG"/>
        </w:rPr>
        <w:instrText xml:space="preserve"> SEQ level0 \*arabic </w:instrText>
      </w:r>
      <w:r w:rsidRPr="00006A07">
        <w:rPr>
          <w:lang w:val="bg-BG"/>
        </w:rPr>
        <w:fldChar w:fldCharType="separate"/>
      </w:r>
      <w:r w:rsidRPr="00006A07">
        <w:rPr>
          <w:noProof/>
          <w:lang w:val="bg-BG"/>
        </w:rPr>
        <w:t>81</w:t>
      </w:r>
      <w:r w:rsidRPr="00006A07">
        <w:rPr>
          <w:lang w:val="bg-BG"/>
        </w:rPr>
        <w:fldChar w:fldCharType="end"/>
      </w:r>
      <w:r w:rsidRPr="00006A07">
        <w:rPr>
          <w:lang w:val="bg-BG"/>
        </w:rPr>
        <w:t>.  Следователно възражението на Правителството следва да бъде отхвърлено.</w:t>
      </w:r>
    </w:p>
    <w:p w:rsidR="0095532B" w:rsidRPr="00006A07" w:rsidRDefault="0095532B" w:rsidP="008D7A78">
      <w:pPr>
        <w:pStyle w:val="JuHA"/>
        <w:rPr>
          <w:lang w:val="bg-BG"/>
        </w:rPr>
      </w:pPr>
      <w:r w:rsidRPr="00006A07">
        <w:rPr>
          <w:lang w:val="bg-BG"/>
        </w:rPr>
        <w:lastRenderedPageBreak/>
        <w:t>Б. Изчерпване на вътрешноправните средства за защита</w:t>
      </w:r>
    </w:p>
    <w:p w:rsidR="0095532B" w:rsidRPr="00006A07" w:rsidRDefault="0095532B" w:rsidP="008D7A78">
      <w:pPr>
        <w:pStyle w:val="JuH1"/>
        <w:rPr>
          <w:lang w:val="bg-BG"/>
        </w:rPr>
      </w:pPr>
      <w:r w:rsidRPr="00006A07">
        <w:rPr>
          <w:lang w:val="bg-BG"/>
        </w:rPr>
        <w:t>1.  Доводи на страните</w:t>
      </w:r>
    </w:p>
    <w:p w:rsidR="0095532B" w:rsidRPr="00006A07" w:rsidRDefault="0095532B" w:rsidP="008D7A78">
      <w:pPr>
        <w:pStyle w:val="JuPara"/>
        <w:rPr>
          <w:lang w:val="bg-BG"/>
        </w:rPr>
      </w:pPr>
      <w:r w:rsidRPr="00006A07">
        <w:rPr>
          <w:lang w:val="bg-BG"/>
        </w:rPr>
        <w:fldChar w:fldCharType="begin"/>
      </w:r>
      <w:r w:rsidRPr="00006A07">
        <w:rPr>
          <w:lang w:val="bg-BG"/>
        </w:rPr>
        <w:instrText xml:space="preserve"> SEQ level0 \*arabic </w:instrText>
      </w:r>
      <w:r w:rsidRPr="00006A07">
        <w:rPr>
          <w:lang w:val="bg-BG"/>
        </w:rPr>
        <w:fldChar w:fldCharType="separate"/>
      </w:r>
      <w:r w:rsidRPr="00006A07">
        <w:rPr>
          <w:noProof/>
          <w:lang w:val="bg-BG"/>
        </w:rPr>
        <w:t>82</w:t>
      </w:r>
      <w:r w:rsidRPr="00006A07">
        <w:rPr>
          <w:lang w:val="bg-BG"/>
        </w:rPr>
        <w:fldChar w:fldCharType="end"/>
      </w:r>
      <w:r w:rsidRPr="00006A07">
        <w:rPr>
          <w:lang w:val="bg-BG"/>
        </w:rPr>
        <w:t xml:space="preserve">.  Правителството твърди, че жалбоподателите не са изчерпали вътрешноправните средства за защита по отношение на своите оплаквания по членове 2, 3 и 8 от Конвенцията, защото те не са обжалвали по съдебен ред решенията, с които им е отказана възможността да използват </w:t>
      </w:r>
      <w:proofErr w:type="spellStart"/>
      <w:r w:rsidRPr="00006A07">
        <w:rPr>
          <w:lang w:val="bg-BG"/>
        </w:rPr>
        <w:t>MBVax</w:t>
      </w:r>
      <w:proofErr w:type="spellEnd"/>
      <w:r w:rsidRPr="00006A07">
        <w:rPr>
          <w:lang w:val="bg-BG"/>
        </w:rPr>
        <w:t xml:space="preserve"> </w:t>
      </w:r>
      <w:proofErr w:type="spellStart"/>
      <w:r w:rsidRPr="00006A07">
        <w:rPr>
          <w:lang w:val="bg-BG"/>
        </w:rPr>
        <w:t>Coley</w:t>
      </w:r>
      <w:proofErr w:type="spellEnd"/>
      <w:r w:rsidRPr="00006A07">
        <w:rPr>
          <w:lang w:val="bg-BG"/>
        </w:rPr>
        <w:t xml:space="preserve"> </w:t>
      </w:r>
      <w:proofErr w:type="spellStart"/>
      <w:r w:rsidRPr="00006A07">
        <w:rPr>
          <w:lang w:val="bg-BG"/>
        </w:rPr>
        <w:t>Fluid</w:t>
      </w:r>
      <w:proofErr w:type="spellEnd"/>
      <w:r w:rsidRPr="00006A07">
        <w:rPr>
          <w:lang w:val="bg-BG"/>
        </w:rPr>
        <w:t>. Правителството твърди, че не знае за случаи, при които българските съдилища са разглеждали „</w:t>
      </w:r>
      <w:proofErr w:type="spellStart"/>
      <w:r w:rsidRPr="00006A07">
        <w:rPr>
          <w:lang w:val="bg-BG"/>
        </w:rPr>
        <w:t>палиативната</w:t>
      </w:r>
      <w:proofErr w:type="spellEnd"/>
      <w:r w:rsidRPr="00006A07">
        <w:rPr>
          <w:lang w:val="bg-BG"/>
        </w:rPr>
        <w:t xml:space="preserve"> употреба“ на неразрешени за употреба лекарствени продукти, и отбелязва, че съдилищата не са компетентни да обявят какъв вид медицинско лечение да се прилага за конкретен случай. Независимо от това е възможно въпросът, повдигнат в делото, да се отнесе пред национален съд при позоваване на аргументи въз основа на Конвенцията или на правото на Европейския съюз, доколкото Конвенцията е инкорпорирана в българското право и релевантните правила от правото на Европейския съюз са били пряко приложими. Правителството по-нататък обръща внимание на условията, при които пациентите могат да търсят достъп до неразрешени за употреба лекарствени продукти, и изразява становището, че в случаите на жалбоподателите тези условия не са били изпълнени.</w:t>
      </w:r>
    </w:p>
    <w:p w:rsidR="0095532B" w:rsidRPr="00006A07" w:rsidRDefault="0095532B" w:rsidP="008D7A78">
      <w:pPr>
        <w:pStyle w:val="JuPara"/>
        <w:rPr>
          <w:lang w:val="bg-BG"/>
        </w:rPr>
      </w:pPr>
      <w:r w:rsidRPr="00006A07">
        <w:rPr>
          <w:lang w:val="bg-BG"/>
        </w:rPr>
        <w:fldChar w:fldCharType="begin"/>
      </w:r>
      <w:r w:rsidRPr="00006A07">
        <w:rPr>
          <w:lang w:val="bg-BG"/>
        </w:rPr>
        <w:instrText xml:space="preserve"> SEQ level0 \*arabic </w:instrText>
      </w:r>
      <w:r w:rsidRPr="00006A07">
        <w:rPr>
          <w:lang w:val="bg-BG"/>
        </w:rPr>
        <w:fldChar w:fldCharType="separate"/>
      </w:r>
      <w:r w:rsidRPr="00006A07">
        <w:rPr>
          <w:noProof/>
          <w:lang w:val="bg-BG"/>
        </w:rPr>
        <w:t>83</w:t>
      </w:r>
      <w:r w:rsidRPr="00006A07">
        <w:rPr>
          <w:lang w:val="bg-BG"/>
        </w:rPr>
        <w:fldChar w:fldCharType="end"/>
      </w:r>
      <w:r w:rsidRPr="00006A07">
        <w:rPr>
          <w:lang w:val="bg-BG"/>
        </w:rPr>
        <w:t xml:space="preserve">.  В допълнителното си становище по този въпрос Правителството отново твърди, че жалбоподателите са можели да обжалват по съдебен ред решенията, с които им е отказана възможността да използват </w:t>
      </w:r>
      <w:proofErr w:type="spellStart"/>
      <w:r w:rsidRPr="00006A07">
        <w:rPr>
          <w:lang w:val="bg-BG"/>
        </w:rPr>
        <w:t>MBVax</w:t>
      </w:r>
      <w:proofErr w:type="spellEnd"/>
      <w:r w:rsidRPr="00006A07">
        <w:rPr>
          <w:lang w:val="bg-BG"/>
        </w:rPr>
        <w:t xml:space="preserve"> </w:t>
      </w:r>
      <w:proofErr w:type="spellStart"/>
      <w:r w:rsidRPr="00006A07">
        <w:rPr>
          <w:lang w:val="bg-BG"/>
        </w:rPr>
        <w:t>Coley</w:t>
      </w:r>
      <w:proofErr w:type="spellEnd"/>
      <w:r w:rsidRPr="00006A07">
        <w:rPr>
          <w:lang w:val="bg-BG"/>
        </w:rPr>
        <w:t xml:space="preserve"> </w:t>
      </w:r>
      <w:proofErr w:type="spellStart"/>
      <w:r w:rsidRPr="00006A07">
        <w:rPr>
          <w:lang w:val="bg-BG"/>
        </w:rPr>
        <w:t>Fluid</w:t>
      </w:r>
      <w:proofErr w:type="spellEnd"/>
      <w:r w:rsidRPr="00006A07">
        <w:rPr>
          <w:lang w:val="bg-BG"/>
        </w:rPr>
        <w:t>, или подзаконовите актове, на които тези решения са се основавали. В такива производства жалбоподателите биха могли да се позоват на Конвенцията: българските съдилища в много случаи са отменяли административни решения или подзаконови актове въз основа на несъответствието им с Конвенцията или правото на Европейския съюз. Правителството признава, че не би могло да спекулира с това какъв би бил изходът от такова производство, но подчертава, че според него нито въпросните решения, нито подзаконовите актове са били в нарушение на Закона за лекарствените продукти в хуманната медицина от 2007 г. или на правото на Европейския съюз. Законът изцяло съответства на релевантното право на Европейския съюз и поради това не е в нарушение на Конвенцията. И двете наредби, Наредба № 2 и Наредба № 10, изискват въпросният лекарствен продукт да бъде разрешен за употреба в друга държава, което не е така в случая на жалбоподателите. Това обаче е изцяло в съответствие с член 83 от Регламент (EО) № 726/2004, който изисква въпросният продукт да бъде или обект на заявление за разрешение за търговия, или в процес на клинични изпитвания, което отново не е така в случая на жалбоподателите.</w:t>
      </w:r>
    </w:p>
    <w:p w:rsidR="0095532B" w:rsidRPr="00006A07" w:rsidRDefault="0095532B" w:rsidP="008D7A78">
      <w:pPr>
        <w:pStyle w:val="JuPara"/>
        <w:rPr>
          <w:lang w:val="bg-BG"/>
        </w:rPr>
      </w:pPr>
      <w:r w:rsidRPr="00006A07">
        <w:rPr>
          <w:lang w:val="bg-BG"/>
        </w:rPr>
        <w:lastRenderedPageBreak/>
        <w:fldChar w:fldCharType="begin"/>
      </w:r>
      <w:r w:rsidRPr="00006A07">
        <w:rPr>
          <w:lang w:val="bg-BG"/>
        </w:rPr>
        <w:instrText xml:space="preserve"> SEQ level0 \*arabic </w:instrText>
      </w:r>
      <w:r w:rsidRPr="00006A07">
        <w:rPr>
          <w:lang w:val="bg-BG"/>
        </w:rPr>
        <w:fldChar w:fldCharType="separate"/>
      </w:r>
      <w:r w:rsidRPr="00006A07">
        <w:rPr>
          <w:noProof/>
          <w:lang w:val="bg-BG"/>
        </w:rPr>
        <w:t>84</w:t>
      </w:r>
      <w:r w:rsidRPr="00006A07">
        <w:rPr>
          <w:lang w:val="bg-BG"/>
        </w:rPr>
        <w:fldChar w:fldCharType="end"/>
      </w:r>
      <w:r w:rsidRPr="00006A07">
        <w:rPr>
          <w:lang w:val="bg-BG"/>
        </w:rPr>
        <w:t>.  Жалбоподателите отговорят, че обжалването по съдебен ред на решенията на директора на Изпълнителната агенция по лекарствата не е ефективно правно средство за защита поради три причини. Първо, с оглед на формулировката на приложимите подзаконови актове, такова обжалване не би имало никакви разумни изгледи за успех. Второ, разглеждането би отнело твърде продължително време. Трето, националните съдилища не биха били в позицията да получат независими експертни мнения. Обжалването по съдебен ред на самите подзаконови актове не е ефективно правно средство за защита, защото такова производство би довело само до отмяната на подзаконовия акт, но не и до неговото изменение.</w:t>
      </w:r>
    </w:p>
    <w:p w:rsidR="0095532B" w:rsidRPr="00006A07" w:rsidRDefault="0095532B" w:rsidP="008D7A78">
      <w:pPr>
        <w:pStyle w:val="JuPara"/>
        <w:rPr>
          <w:lang w:val="bg-BG"/>
        </w:rPr>
      </w:pPr>
      <w:r w:rsidRPr="00006A07">
        <w:rPr>
          <w:lang w:val="bg-BG"/>
        </w:rPr>
        <w:fldChar w:fldCharType="begin"/>
      </w:r>
      <w:r w:rsidRPr="00006A07">
        <w:rPr>
          <w:lang w:val="bg-BG"/>
        </w:rPr>
        <w:instrText xml:space="preserve"> SEQ level0 \*arabic </w:instrText>
      </w:r>
      <w:r w:rsidRPr="00006A07">
        <w:rPr>
          <w:lang w:val="bg-BG"/>
        </w:rPr>
        <w:fldChar w:fldCharType="separate"/>
      </w:r>
      <w:r w:rsidRPr="00006A07">
        <w:rPr>
          <w:noProof/>
          <w:lang w:val="bg-BG"/>
        </w:rPr>
        <w:t>85</w:t>
      </w:r>
      <w:r w:rsidRPr="00006A07">
        <w:rPr>
          <w:lang w:val="bg-BG"/>
        </w:rPr>
        <w:fldChar w:fldCharType="end"/>
      </w:r>
      <w:r w:rsidRPr="00006A07">
        <w:rPr>
          <w:lang w:val="bg-BG"/>
        </w:rPr>
        <w:t xml:space="preserve">.  В своето допълнително становище по този въпрос жалбоподателите отново твърдят, че обжалването по съдебен ред на решенията на Изпълнителната агенция по лекарствата не би имало разумни изгледи за успех по няколко причини. Първо, изискванията, посочени в приложимите подзаконови актове, са неясни. Второ, при липсата в Наредба № 2 на разпоредби относно възможността за обжалване по съдебен ред и на каквато и да било съдебна практика по предхождащите я подзаконови актове, не е ясно кой би бил компетентният съд и дори дали съдилищата биха взели предвид </w:t>
      </w:r>
      <w:proofErr w:type="spellStart"/>
      <w:r w:rsidRPr="00006A07">
        <w:rPr>
          <w:lang w:val="bg-BG"/>
        </w:rPr>
        <w:t>произнасянията</w:t>
      </w:r>
      <w:proofErr w:type="spellEnd"/>
      <w:r w:rsidRPr="00006A07">
        <w:rPr>
          <w:lang w:val="bg-BG"/>
        </w:rPr>
        <w:t xml:space="preserve"> на Агенцията за административни решения, които подлежат на съдебно обжалване. Трето, няма гаранция, че жалбоподателите биха имали възможност да получат непредубедени експертни мнения. Невъзможността да се осигурят обективни становища от медицински експерти е системен проблем в България, както се вижда от редица случаи във връзка с лекарска небрежност и публикации в пресата. Четвърто, всички тези процедурни неясноти създават голяма вероятност всякакви оспорвания, направени от жалбоподателите, да не получат решение преди смъртта им. В подкрепа на това твърдение жалбоподателите посочват няколко дела, при които производства, заведени от болни във връзка с това, че не са им били предоставени лекарства от Държавата, са били компрометирани от забавяния и са се влачили в продължение на години; в някои от тези случаи жалбоподателите по </w:t>
      </w:r>
      <w:proofErr w:type="spellStart"/>
      <w:r w:rsidRPr="00006A07">
        <w:rPr>
          <w:lang w:val="bg-BG"/>
        </w:rPr>
        <w:t>оспорванията</w:t>
      </w:r>
      <w:proofErr w:type="spellEnd"/>
      <w:r w:rsidRPr="00006A07">
        <w:rPr>
          <w:lang w:val="bg-BG"/>
        </w:rPr>
        <w:t xml:space="preserve"> са починали много преди съдилищата да разгледат жалбите им. Относно производствата по обжалване на нормативни актове, тяхната средна продължителност е две години. Пето, въпросните подзаконови актове не са в противоречие с българското право и поради това могат да бъдат оспорвани само въз основа на Конвенцията. Както е видно от съдебната практика в България обаче, българските съдилища са склонни да вземат предвид аргументи, свързани с Конвенцията, единствено ако те са основани на ясна и последователна съдебна практика на настоящия Съд във връзка с България, но случаят не е такъв. Съществуват множество български съдебни решения, които не </w:t>
      </w:r>
      <w:r w:rsidRPr="00006A07">
        <w:rPr>
          <w:lang w:val="bg-BG"/>
        </w:rPr>
        <w:lastRenderedPageBreak/>
        <w:t>отдават дължимото значение на аргументи, основани на Конвенцията. Накратко, изгледите национален съд да осигури обезщетение на жалбоподателите преди тяхната смърт, е илюзорен. Също така те не могат реално да се надяват да получат от властите различно решение по новоиздадената Наредба № 10: тя също изисква въпросният лекарствен продукт да е разрешен за употреба в друга държава.</w:t>
      </w:r>
    </w:p>
    <w:p w:rsidR="0095532B" w:rsidRPr="00006A07" w:rsidRDefault="0095532B" w:rsidP="008D7A78">
      <w:pPr>
        <w:pStyle w:val="JuH1"/>
        <w:rPr>
          <w:lang w:val="bg-BG"/>
        </w:rPr>
      </w:pPr>
      <w:r w:rsidRPr="00006A07">
        <w:rPr>
          <w:lang w:val="bg-BG"/>
        </w:rPr>
        <w:t>2.  Оценката на Съда</w:t>
      </w:r>
    </w:p>
    <w:p w:rsidR="0095532B" w:rsidRPr="00006A07" w:rsidRDefault="0095532B" w:rsidP="008D7A78">
      <w:pPr>
        <w:pStyle w:val="JuPara"/>
        <w:rPr>
          <w:lang w:val="bg-BG"/>
        </w:rPr>
      </w:pPr>
      <w:r w:rsidRPr="00006A07">
        <w:rPr>
          <w:lang w:val="bg-BG"/>
        </w:rPr>
        <w:fldChar w:fldCharType="begin"/>
      </w:r>
      <w:r w:rsidRPr="00006A07">
        <w:rPr>
          <w:lang w:val="bg-BG"/>
        </w:rPr>
        <w:instrText xml:space="preserve"> SEQ level0 \*arabic </w:instrText>
      </w:r>
      <w:r w:rsidRPr="00006A07">
        <w:rPr>
          <w:lang w:val="bg-BG"/>
        </w:rPr>
        <w:fldChar w:fldCharType="separate"/>
      </w:r>
      <w:r w:rsidRPr="00006A07">
        <w:rPr>
          <w:noProof/>
          <w:lang w:val="bg-BG"/>
        </w:rPr>
        <w:t>86</w:t>
      </w:r>
      <w:r w:rsidRPr="00006A07">
        <w:rPr>
          <w:lang w:val="bg-BG"/>
        </w:rPr>
        <w:fldChar w:fldCharType="end"/>
      </w:r>
      <w:r w:rsidRPr="00006A07">
        <w:rPr>
          <w:lang w:val="bg-BG"/>
        </w:rPr>
        <w:t>.  По отношение на възможността за обжалване на решенията на директора на Изпълнителната агенция по лекарствата, Съдът отбелязва, че към съответния момент невъзможността жалбоподателите да получат достъп до неразрешения за употреба лекарствен продукт, който са искали да им бъде прилаган, произтича пряко от формулировката на член 2 от Наредба № 2 от 10 януари 2001 г., предшестван и заменен от подобни текстове (вж. параграфи </w:t>
      </w:r>
      <w:r w:rsidRPr="00006A07">
        <w:rPr>
          <w:lang w:val="bg-BG"/>
        </w:rPr>
        <w:fldChar w:fldCharType="begin"/>
      </w:r>
      <w:r w:rsidRPr="00006A07">
        <w:rPr>
          <w:lang w:val="bg-BG"/>
        </w:rPr>
        <w:instrText xml:space="preserve"> REF RDL_Regulations_2 \h </w:instrText>
      </w:r>
      <w:r w:rsidRPr="00006A07">
        <w:rPr>
          <w:lang w:val="bg-BG"/>
        </w:rPr>
      </w:r>
      <w:r w:rsidRPr="00006A07">
        <w:rPr>
          <w:lang w:val="bg-BG"/>
        </w:rPr>
        <w:fldChar w:fldCharType="separate"/>
      </w:r>
      <w:r w:rsidRPr="00006A07">
        <w:rPr>
          <w:noProof/>
          <w:lang w:val="bg-BG"/>
        </w:rPr>
        <w:t>25</w:t>
      </w:r>
      <w:r w:rsidRPr="00006A07">
        <w:rPr>
          <w:lang w:val="bg-BG"/>
        </w:rPr>
        <w:fldChar w:fldCharType="end"/>
      </w:r>
      <w:r w:rsidRPr="00006A07">
        <w:rPr>
          <w:lang w:val="bg-BG"/>
        </w:rPr>
        <w:t xml:space="preserve"> и </w:t>
      </w:r>
      <w:r w:rsidRPr="00006A07">
        <w:rPr>
          <w:lang w:val="bg-BG"/>
        </w:rPr>
        <w:fldChar w:fldCharType="begin"/>
      </w:r>
      <w:r w:rsidRPr="00006A07">
        <w:rPr>
          <w:lang w:val="bg-BG"/>
        </w:rPr>
        <w:instrText xml:space="preserve"> REF RDL_Regulations_10 \h </w:instrText>
      </w:r>
      <w:r w:rsidRPr="00006A07">
        <w:rPr>
          <w:lang w:val="bg-BG"/>
        </w:rPr>
      </w:r>
      <w:r w:rsidRPr="00006A07">
        <w:rPr>
          <w:lang w:val="bg-BG"/>
        </w:rPr>
        <w:fldChar w:fldCharType="separate"/>
      </w:r>
      <w:r w:rsidRPr="00006A07">
        <w:rPr>
          <w:noProof/>
          <w:lang w:val="bg-BG"/>
        </w:rPr>
        <w:t>30</w:t>
      </w:r>
      <w:r w:rsidRPr="00006A07">
        <w:rPr>
          <w:lang w:val="bg-BG"/>
        </w:rPr>
        <w:fldChar w:fldCharType="end"/>
      </w:r>
      <w:r w:rsidRPr="00006A07">
        <w:rPr>
          <w:lang w:val="bg-BG"/>
        </w:rPr>
        <w:t xml:space="preserve"> по-горе). Съгласно изричните условия на този член и на членовете, които са го предхождали и заменяли, лекарствени продукти, които не са разрешени за употреба в друга държава – какъвто е случаят тук – не могат по изключение да бъдат разрешени за употреба в България (вж. параграфи </w:t>
      </w:r>
      <w:r w:rsidRPr="00006A07">
        <w:rPr>
          <w:lang w:val="bg-BG"/>
        </w:rPr>
        <w:fldChar w:fldCharType="begin"/>
      </w:r>
      <w:r w:rsidRPr="00006A07">
        <w:rPr>
          <w:lang w:val="bg-BG"/>
        </w:rPr>
        <w:instrText xml:space="preserve"> REF RDL_Regulations_2_2 \h </w:instrText>
      </w:r>
      <w:r w:rsidRPr="00006A07">
        <w:rPr>
          <w:lang w:val="bg-BG"/>
        </w:rPr>
      </w:r>
      <w:r w:rsidRPr="00006A07">
        <w:rPr>
          <w:lang w:val="bg-BG"/>
        </w:rPr>
        <w:fldChar w:fldCharType="separate"/>
      </w:r>
      <w:r w:rsidRPr="00006A07">
        <w:rPr>
          <w:noProof/>
          <w:lang w:val="bg-BG"/>
        </w:rPr>
        <w:t>26</w:t>
      </w:r>
      <w:r w:rsidRPr="00006A07">
        <w:rPr>
          <w:lang w:val="bg-BG"/>
        </w:rPr>
        <w:fldChar w:fldCharType="end"/>
      </w:r>
      <w:r w:rsidRPr="00006A07">
        <w:rPr>
          <w:lang w:val="bg-BG"/>
        </w:rPr>
        <w:t xml:space="preserve">, </w:t>
      </w:r>
      <w:r w:rsidRPr="00006A07">
        <w:rPr>
          <w:lang w:val="bg-BG"/>
        </w:rPr>
        <w:fldChar w:fldCharType="begin"/>
      </w:r>
      <w:r w:rsidRPr="00006A07">
        <w:rPr>
          <w:lang w:val="bg-BG"/>
        </w:rPr>
        <w:instrText xml:space="preserve"> REF RDL_Regulations_18_1 \h </w:instrText>
      </w:r>
      <w:r w:rsidRPr="00006A07">
        <w:rPr>
          <w:lang w:val="bg-BG"/>
        </w:rPr>
      </w:r>
      <w:r w:rsidRPr="00006A07">
        <w:rPr>
          <w:lang w:val="bg-BG"/>
        </w:rPr>
        <w:fldChar w:fldCharType="separate"/>
      </w:r>
      <w:r w:rsidRPr="00006A07">
        <w:rPr>
          <w:noProof/>
          <w:lang w:val="bg-BG"/>
        </w:rPr>
        <w:t>27</w:t>
      </w:r>
      <w:r w:rsidRPr="00006A07">
        <w:rPr>
          <w:lang w:val="bg-BG"/>
        </w:rPr>
        <w:fldChar w:fldCharType="end"/>
      </w:r>
      <w:r w:rsidRPr="00006A07">
        <w:rPr>
          <w:lang w:val="bg-BG"/>
        </w:rPr>
        <w:t xml:space="preserve"> и </w:t>
      </w:r>
      <w:r w:rsidRPr="00006A07">
        <w:rPr>
          <w:lang w:val="bg-BG"/>
        </w:rPr>
        <w:fldChar w:fldCharType="begin"/>
      </w:r>
      <w:r w:rsidRPr="00006A07">
        <w:rPr>
          <w:lang w:val="bg-BG"/>
        </w:rPr>
        <w:instrText xml:space="preserve"> REF RDL_Regulations_10_substantive \h </w:instrText>
      </w:r>
      <w:r w:rsidRPr="00006A07">
        <w:rPr>
          <w:lang w:val="bg-BG"/>
        </w:rPr>
      </w:r>
      <w:r w:rsidRPr="00006A07">
        <w:rPr>
          <w:lang w:val="bg-BG"/>
        </w:rPr>
        <w:fldChar w:fldCharType="separate"/>
      </w:r>
      <w:r w:rsidRPr="00006A07">
        <w:rPr>
          <w:noProof/>
          <w:lang w:val="bg-BG"/>
        </w:rPr>
        <w:t>31</w:t>
      </w:r>
      <w:r w:rsidRPr="00006A07">
        <w:rPr>
          <w:lang w:val="bg-BG"/>
        </w:rPr>
        <w:fldChar w:fldCharType="end"/>
      </w:r>
      <w:r w:rsidRPr="00006A07">
        <w:rPr>
          <w:lang w:val="bg-BG"/>
        </w:rPr>
        <w:t xml:space="preserve"> по-горе). Не се оспорва, че в решенията му във връзка с всеки от жалбоподателите директорът на Агенцията е приложил правилно тази разпоредба; това е потвърдено от становището, изразено от </w:t>
      </w:r>
      <w:proofErr w:type="spellStart"/>
      <w:r w:rsidRPr="00006A07">
        <w:rPr>
          <w:lang w:val="bg-BG"/>
        </w:rPr>
        <w:t>Омбудсмана</w:t>
      </w:r>
      <w:proofErr w:type="spellEnd"/>
      <w:r w:rsidRPr="00006A07">
        <w:rPr>
          <w:lang w:val="bg-BG"/>
        </w:rPr>
        <w:t xml:space="preserve"> на Републиката (вж. параграф </w:t>
      </w:r>
      <w:r w:rsidRPr="00006A07">
        <w:rPr>
          <w:lang w:val="bg-BG"/>
        </w:rPr>
        <w:fldChar w:fldCharType="begin"/>
      </w:r>
      <w:r w:rsidRPr="00006A07">
        <w:rPr>
          <w:lang w:val="bg-BG"/>
        </w:rPr>
        <w:instrText xml:space="preserve"> REF F_Ombudsman \h </w:instrText>
      </w:r>
      <w:r w:rsidRPr="00006A07">
        <w:rPr>
          <w:lang w:val="bg-BG"/>
        </w:rPr>
      </w:r>
      <w:r w:rsidRPr="00006A07">
        <w:rPr>
          <w:lang w:val="bg-BG"/>
        </w:rPr>
        <w:fldChar w:fldCharType="separate"/>
      </w:r>
      <w:r w:rsidRPr="00006A07">
        <w:rPr>
          <w:noProof/>
          <w:lang w:val="bg-BG"/>
        </w:rPr>
        <w:t>16</w:t>
      </w:r>
      <w:r w:rsidRPr="00006A07">
        <w:rPr>
          <w:lang w:val="bg-BG"/>
        </w:rPr>
        <w:fldChar w:fldCharType="end"/>
      </w:r>
      <w:r w:rsidRPr="00006A07">
        <w:rPr>
          <w:lang w:val="bg-BG"/>
        </w:rPr>
        <w:t xml:space="preserve"> по-горе) и от доводите на Правителството (вж., </w:t>
      </w:r>
      <w:proofErr w:type="spellStart"/>
      <w:r w:rsidRPr="00006A07">
        <w:rPr>
          <w:i/>
          <w:iCs/>
          <w:lang w:val="bg-BG"/>
        </w:rPr>
        <w:t>mutatis</w:t>
      </w:r>
      <w:proofErr w:type="spellEnd"/>
      <w:r w:rsidRPr="00006A07">
        <w:rPr>
          <w:i/>
          <w:iCs/>
          <w:lang w:val="bg-BG"/>
        </w:rPr>
        <w:t xml:space="preserve"> </w:t>
      </w:r>
      <w:proofErr w:type="spellStart"/>
      <w:r w:rsidRPr="00006A07">
        <w:rPr>
          <w:i/>
          <w:iCs/>
          <w:lang w:val="bg-BG"/>
        </w:rPr>
        <w:t>mutandis</w:t>
      </w:r>
      <w:proofErr w:type="spellEnd"/>
      <w:r w:rsidRPr="00006A07">
        <w:rPr>
          <w:lang w:val="bg-BG"/>
        </w:rPr>
        <w:t xml:space="preserve">, </w:t>
      </w:r>
      <w:proofErr w:type="spellStart"/>
      <w:r w:rsidRPr="00006A07">
        <w:rPr>
          <w:rStyle w:val="s6b621b36"/>
          <w:i/>
          <w:iCs/>
          <w:lang w:val="bg-BG"/>
        </w:rPr>
        <w:t>Immobiliare</w:t>
      </w:r>
      <w:proofErr w:type="spellEnd"/>
      <w:r w:rsidRPr="00006A07">
        <w:rPr>
          <w:rStyle w:val="s6b621b36"/>
          <w:i/>
          <w:iCs/>
          <w:lang w:val="bg-BG"/>
        </w:rPr>
        <w:t xml:space="preserve"> </w:t>
      </w:r>
      <w:proofErr w:type="spellStart"/>
      <w:r w:rsidRPr="00006A07">
        <w:rPr>
          <w:rStyle w:val="s6b621b36"/>
          <w:i/>
          <w:iCs/>
          <w:lang w:val="bg-BG"/>
        </w:rPr>
        <w:t>Saffi</w:t>
      </w:r>
      <w:proofErr w:type="spellEnd"/>
      <w:r w:rsidRPr="00006A07">
        <w:rPr>
          <w:rStyle w:val="s6b621b36"/>
          <w:i/>
          <w:iCs/>
          <w:lang w:val="bg-BG"/>
        </w:rPr>
        <w:t xml:space="preserve"> v. </w:t>
      </w:r>
      <w:proofErr w:type="spellStart"/>
      <w:r w:rsidRPr="00006A07">
        <w:rPr>
          <w:rStyle w:val="s6b621b36"/>
          <w:i/>
          <w:iCs/>
          <w:lang w:val="bg-BG"/>
        </w:rPr>
        <w:t>Italy</w:t>
      </w:r>
      <w:proofErr w:type="spellEnd"/>
      <w:r w:rsidRPr="00006A07">
        <w:rPr>
          <w:rStyle w:val="s6b621b36"/>
          <w:i/>
          <w:iCs/>
          <w:lang w:val="bg-BG"/>
        </w:rPr>
        <w:t xml:space="preserve"> </w:t>
      </w:r>
      <w:r w:rsidRPr="00006A07">
        <w:rPr>
          <w:rStyle w:val="sb8d990e2"/>
          <w:lang w:val="bg-BG"/>
        </w:rPr>
        <w:t xml:space="preserve">[GC], </w:t>
      </w:r>
      <w:proofErr w:type="spellStart"/>
      <w:r w:rsidRPr="00006A07">
        <w:rPr>
          <w:rStyle w:val="sb8d990e2"/>
          <w:lang w:val="bg-BG"/>
        </w:rPr>
        <w:t>no</w:t>
      </w:r>
      <w:proofErr w:type="spellEnd"/>
      <w:r w:rsidRPr="00006A07">
        <w:rPr>
          <w:rStyle w:val="sb8d990e2"/>
          <w:lang w:val="bg-BG"/>
        </w:rPr>
        <w:t xml:space="preserve">. 22774/93, § 42 </w:t>
      </w:r>
      <w:proofErr w:type="spellStart"/>
      <w:r w:rsidRPr="00006A07">
        <w:rPr>
          <w:rStyle w:val="s6b621b36"/>
          <w:i/>
          <w:iCs/>
          <w:lang w:val="bg-BG"/>
        </w:rPr>
        <w:t>in</w:t>
      </w:r>
      <w:proofErr w:type="spellEnd"/>
      <w:r w:rsidRPr="00006A07">
        <w:rPr>
          <w:rStyle w:val="s6b621b36"/>
          <w:i/>
          <w:iCs/>
          <w:lang w:val="bg-BG"/>
        </w:rPr>
        <w:t xml:space="preserve"> </w:t>
      </w:r>
      <w:proofErr w:type="spellStart"/>
      <w:r w:rsidRPr="00006A07">
        <w:rPr>
          <w:rStyle w:val="s6b621b36"/>
          <w:i/>
          <w:iCs/>
          <w:lang w:val="bg-BG"/>
        </w:rPr>
        <w:t>limine</w:t>
      </w:r>
      <w:proofErr w:type="spellEnd"/>
      <w:r w:rsidRPr="00006A07">
        <w:rPr>
          <w:rStyle w:val="sb8d990e2"/>
          <w:lang w:val="bg-BG"/>
        </w:rPr>
        <w:t>, ECHR 1999</w:t>
      </w:r>
      <w:r w:rsidRPr="00006A07">
        <w:rPr>
          <w:rStyle w:val="sb8d990e2"/>
          <w:lang w:val="bg-BG"/>
        </w:rPr>
        <w:noBreakHyphen/>
        <w:t xml:space="preserve">V; </w:t>
      </w:r>
      <w:proofErr w:type="spellStart"/>
      <w:r w:rsidRPr="00006A07">
        <w:rPr>
          <w:rStyle w:val="s6b621b36"/>
          <w:i/>
          <w:iCs/>
          <w:lang w:val="bg-BG"/>
        </w:rPr>
        <w:t>Urbárska</w:t>
      </w:r>
      <w:proofErr w:type="spellEnd"/>
      <w:r w:rsidRPr="00006A07">
        <w:rPr>
          <w:rStyle w:val="s6b621b36"/>
          <w:i/>
          <w:iCs/>
          <w:lang w:val="bg-BG"/>
        </w:rPr>
        <w:t xml:space="preserve"> </w:t>
      </w:r>
      <w:proofErr w:type="spellStart"/>
      <w:r w:rsidRPr="00006A07">
        <w:rPr>
          <w:rStyle w:val="s6b621b36"/>
          <w:i/>
          <w:iCs/>
          <w:lang w:val="bg-BG"/>
        </w:rPr>
        <w:t>Obec</w:t>
      </w:r>
      <w:proofErr w:type="spellEnd"/>
      <w:r w:rsidRPr="00006A07">
        <w:rPr>
          <w:rStyle w:val="s6b621b36"/>
          <w:i/>
          <w:iCs/>
          <w:lang w:val="bg-BG"/>
        </w:rPr>
        <w:t xml:space="preserve"> </w:t>
      </w:r>
      <w:proofErr w:type="spellStart"/>
      <w:r w:rsidRPr="00006A07">
        <w:rPr>
          <w:rStyle w:val="s6b621b36"/>
          <w:i/>
          <w:iCs/>
          <w:lang w:val="bg-BG"/>
        </w:rPr>
        <w:t>Trenčianske</w:t>
      </w:r>
      <w:proofErr w:type="spellEnd"/>
      <w:r w:rsidRPr="00006A07">
        <w:rPr>
          <w:rStyle w:val="s6b621b36"/>
          <w:i/>
          <w:iCs/>
          <w:lang w:val="bg-BG"/>
        </w:rPr>
        <w:t xml:space="preserve"> </w:t>
      </w:r>
      <w:proofErr w:type="spellStart"/>
      <w:r w:rsidRPr="00006A07">
        <w:rPr>
          <w:rStyle w:val="s6b621b36"/>
          <w:i/>
          <w:iCs/>
          <w:lang w:val="bg-BG"/>
        </w:rPr>
        <w:t>Biskupice</w:t>
      </w:r>
      <w:proofErr w:type="spellEnd"/>
      <w:r w:rsidRPr="00006A07">
        <w:rPr>
          <w:rStyle w:val="s6b621b36"/>
          <w:i/>
          <w:iCs/>
          <w:lang w:val="bg-BG"/>
        </w:rPr>
        <w:t xml:space="preserve"> v. </w:t>
      </w:r>
      <w:proofErr w:type="spellStart"/>
      <w:r w:rsidRPr="00006A07">
        <w:rPr>
          <w:rStyle w:val="s6b621b36"/>
          <w:i/>
          <w:iCs/>
          <w:lang w:val="bg-BG"/>
        </w:rPr>
        <w:t>Slovakia</w:t>
      </w:r>
      <w:proofErr w:type="spellEnd"/>
      <w:r w:rsidRPr="00006A07">
        <w:rPr>
          <w:rStyle w:val="sb8d990e2"/>
          <w:lang w:val="bg-BG"/>
        </w:rPr>
        <w:t xml:space="preserve">, </w:t>
      </w:r>
      <w:proofErr w:type="spellStart"/>
      <w:r w:rsidRPr="00006A07">
        <w:rPr>
          <w:rStyle w:val="sb8d990e2"/>
          <w:lang w:val="bg-BG"/>
        </w:rPr>
        <w:t>no</w:t>
      </w:r>
      <w:proofErr w:type="spellEnd"/>
      <w:r w:rsidRPr="00006A07">
        <w:rPr>
          <w:rStyle w:val="sb8d990e2"/>
          <w:lang w:val="bg-BG"/>
        </w:rPr>
        <w:t xml:space="preserve">. 74258/01, § 86, 27 ноември 2007 г.; </w:t>
      </w:r>
      <w:proofErr w:type="spellStart"/>
      <w:r w:rsidRPr="00006A07">
        <w:rPr>
          <w:rStyle w:val="s6b621b36"/>
          <w:i/>
          <w:iCs/>
          <w:lang w:val="bg-BG"/>
        </w:rPr>
        <w:t>Ognyan</w:t>
      </w:r>
      <w:proofErr w:type="spellEnd"/>
      <w:r w:rsidRPr="00006A07">
        <w:rPr>
          <w:rStyle w:val="s6b621b36"/>
          <w:i/>
          <w:iCs/>
          <w:lang w:val="bg-BG"/>
        </w:rPr>
        <w:t xml:space="preserve"> </w:t>
      </w:r>
      <w:proofErr w:type="spellStart"/>
      <w:r w:rsidRPr="00006A07">
        <w:rPr>
          <w:rStyle w:val="s6b621b36"/>
          <w:i/>
          <w:iCs/>
          <w:lang w:val="bg-BG"/>
        </w:rPr>
        <w:t>Asenov</w:t>
      </w:r>
      <w:proofErr w:type="spellEnd"/>
      <w:r w:rsidRPr="00006A07">
        <w:rPr>
          <w:rStyle w:val="s6b621b36"/>
          <w:i/>
          <w:iCs/>
          <w:lang w:val="bg-BG"/>
        </w:rPr>
        <w:t xml:space="preserve"> v. </w:t>
      </w:r>
      <w:proofErr w:type="spellStart"/>
      <w:r w:rsidRPr="00006A07">
        <w:rPr>
          <w:rStyle w:val="s6b621b36"/>
          <w:i/>
          <w:iCs/>
          <w:lang w:val="bg-BG"/>
        </w:rPr>
        <w:t>Bulgaria</w:t>
      </w:r>
      <w:proofErr w:type="spellEnd"/>
      <w:r w:rsidRPr="00006A07">
        <w:rPr>
          <w:rStyle w:val="sb8d990e2"/>
          <w:lang w:val="bg-BG"/>
        </w:rPr>
        <w:t xml:space="preserve">, </w:t>
      </w:r>
      <w:proofErr w:type="spellStart"/>
      <w:r w:rsidRPr="00006A07">
        <w:rPr>
          <w:rStyle w:val="sb8d990e2"/>
          <w:lang w:val="bg-BG"/>
        </w:rPr>
        <w:t>no</w:t>
      </w:r>
      <w:proofErr w:type="spellEnd"/>
      <w:r w:rsidRPr="00006A07">
        <w:rPr>
          <w:rStyle w:val="sb8d990e2"/>
          <w:lang w:val="bg-BG"/>
        </w:rPr>
        <w:t xml:space="preserve">. 38157/04, § 32, 17 февруари 2011 г.; и </w:t>
      </w:r>
      <w:proofErr w:type="spellStart"/>
      <w:r w:rsidRPr="00006A07">
        <w:rPr>
          <w:i/>
          <w:iCs/>
          <w:lang w:val="bg-BG"/>
        </w:rPr>
        <w:t>Valkov</w:t>
      </w:r>
      <w:proofErr w:type="spellEnd"/>
      <w:r w:rsidRPr="00006A07">
        <w:rPr>
          <w:i/>
          <w:iCs/>
          <w:lang w:val="bg-BG"/>
        </w:rPr>
        <w:t xml:space="preserve"> </w:t>
      </w:r>
      <w:proofErr w:type="spellStart"/>
      <w:r w:rsidRPr="00006A07">
        <w:rPr>
          <w:i/>
          <w:iCs/>
          <w:lang w:val="bg-BG" w:eastAsia="en-US"/>
        </w:rPr>
        <w:t>and</w:t>
      </w:r>
      <w:proofErr w:type="spellEnd"/>
      <w:r w:rsidRPr="00006A07">
        <w:rPr>
          <w:i/>
          <w:iCs/>
          <w:lang w:val="bg-BG" w:eastAsia="en-US"/>
        </w:rPr>
        <w:t xml:space="preserve"> </w:t>
      </w:r>
      <w:proofErr w:type="spellStart"/>
      <w:r w:rsidRPr="00006A07">
        <w:rPr>
          <w:i/>
          <w:iCs/>
          <w:lang w:val="bg-BG" w:eastAsia="en-US"/>
        </w:rPr>
        <w:t>Others</w:t>
      </w:r>
      <w:proofErr w:type="spellEnd"/>
      <w:r w:rsidRPr="00006A07">
        <w:rPr>
          <w:i/>
          <w:iCs/>
          <w:lang w:val="bg-BG" w:eastAsia="en-US"/>
        </w:rPr>
        <w:t xml:space="preserve"> v. </w:t>
      </w:r>
      <w:proofErr w:type="spellStart"/>
      <w:r w:rsidRPr="00006A07">
        <w:rPr>
          <w:i/>
          <w:iCs/>
          <w:lang w:val="bg-BG" w:eastAsia="en-US"/>
        </w:rPr>
        <w:t>Bulgaria</w:t>
      </w:r>
      <w:proofErr w:type="spellEnd"/>
      <w:r w:rsidRPr="00006A07">
        <w:rPr>
          <w:lang w:val="bg-BG" w:eastAsia="en-US"/>
        </w:rPr>
        <w:t xml:space="preserve">, </w:t>
      </w:r>
      <w:proofErr w:type="spellStart"/>
      <w:r w:rsidRPr="00006A07">
        <w:rPr>
          <w:lang w:val="bg-BG" w:eastAsia="en-US"/>
        </w:rPr>
        <w:t>nos</w:t>
      </w:r>
      <w:proofErr w:type="spellEnd"/>
      <w:r w:rsidRPr="00006A07">
        <w:rPr>
          <w:lang w:val="bg-BG" w:eastAsia="en-US"/>
        </w:rPr>
        <w:t>. 2033/04, 19125/04, 19475/04, 19490/04, 19495/04, 19497/04, 24729/04, 171/05 и 2041/05</w:t>
      </w:r>
      <w:r w:rsidRPr="00006A07">
        <w:rPr>
          <w:snapToGrid w:val="0"/>
          <w:lang w:val="bg-BG" w:eastAsia="en-US"/>
        </w:rPr>
        <w:t>, § 72, 2</w:t>
      </w:r>
      <w:r w:rsidRPr="00006A07">
        <w:rPr>
          <w:lang w:val="bg-BG" w:eastAsia="en-US"/>
        </w:rPr>
        <w:t>5 октомври</w:t>
      </w:r>
      <w:r w:rsidRPr="00006A07">
        <w:rPr>
          <w:snapToGrid w:val="0"/>
          <w:lang w:val="bg-BG" w:eastAsia="en-US"/>
        </w:rPr>
        <w:t xml:space="preserve"> 2011 г.)</w:t>
      </w:r>
      <w:r w:rsidRPr="00006A07">
        <w:rPr>
          <w:lang w:val="bg-BG"/>
        </w:rPr>
        <w:t xml:space="preserve">. Относно </w:t>
      </w:r>
      <w:r w:rsidRPr="00006A07">
        <w:rPr>
          <w:snapToGrid w:val="0"/>
          <w:lang w:val="bg-BG" w:eastAsia="en-US"/>
        </w:rPr>
        <w:t xml:space="preserve">възможността за позоваване на прякото прилагане на правото на Европейския съюз, Съдът взема предвид примерите, цитирани от Правителството, при които българските съдилища са се позовали на това право, за да отменят административни решения (вж. параграфи </w:t>
      </w:r>
      <w:r w:rsidRPr="00006A07">
        <w:rPr>
          <w:snapToGrid w:val="0"/>
          <w:lang w:val="bg-BG" w:eastAsia="en-US"/>
        </w:rPr>
        <w:fldChar w:fldCharType="begin"/>
      </w:r>
      <w:r w:rsidRPr="00006A07">
        <w:rPr>
          <w:snapToGrid w:val="0"/>
          <w:lang w:val="bg-BG" w:eastAsia="en-US"/>
        </w:rPr>
        <w:instrText xml:space="preserve"> REF RDL_G_decisions_2_3 \h </w:instrText>
      </w:r>
      <w:r w:rsidRPr="00006A07">
        <w:rPr>
          <w:snapToGrid w:val="0"/>
          <w:lang w:val="bg-BG" w:eastAsia="en-US"/>
        </w:rPr>
      </w:r>
      <w:r w:rsidRPr="00006A07">
        <w:rPr>
          <w:snapToGrid w:val="0"/>
          <w:lang w:val="bg-BG" w:eastAsia="en-US"/>
        </w:rPr>
        <w:fldChar w:fldCharType="separate"/>
      </w:r>
      <w:r w:rsidRPr="00006A07">
        <w:rPr>
          <w:noProof/>
          <w:lang w:val="bg-BG"/>
        </w:rPr>
        <w:t>38</w:t>
      </w:r>
      <w:r w:rsidRPr="00006A07">
        <w:rPr>
          <w:snapToGrid w:val="0"/>
          <w:lang w:val="bg-BG" w:eastAsia="en-US"/>
        </w:rPr>
        <w:fldChar w:fldCharType="end"/>
      </w:r>
      <w:r w:rsidRPr="00006A07">
        <w:rPr>
          <w:snapToGrid w:val="0"/>
          <w:lang w:val="bg-BG" w:eastAsia="en-US"/>
        </w:rPr>
        <w:t xml:space="preserve"> и </w:t>
      </w:r>
      <w:r w:rsidRPr="00006A07">
        <w:rPr>
          <w:snapToGrid w:val="0"/>
          <w:lang w:val="bg-BG" w:eastAsia="en-US"/>
        </w:rPr>
        <w:fldChar w:fldCharType="begin"/>
      </w:r>
      <w:r w:rsidRPr="00006A07">
        <w:rPr>
          <w:snapToGrid w:val="0"/>
          <w:lang w:val="bg-BG" w:eastAsia="en-US"/>
        </w:rPr>
        <w:instrText xml:space="preserve"> REF RDL_G_decision_4 \h </w:instrText>
      </w:r>
      <w:r w:rsidRPr="00006A07">
        <w:rPr>
          <w:snapToGrid w:val="0"/>
          <w:lang w:val="bg-BG" w:eastAsia="en-US"/>
        </w:rPr>
      </w:r>
      <w:r w:rsidRPr="00006A07">
        <w:rPr>
          <w:snapToGrid w:val="0"/>
          <w:lang w:val="bg-BG" w:eastAsia="en-US"/>
        </w:rPr>
        <w:fldChar w:fldCharType="separate"/>
      </w:r>
      <w:r w:rsidRPr="00006A07">
        <w:rPr>
          <w:noProof/>
          <w:lang w:val="bg-BG"/>
        </w:rPr>
        <w:t>39</w:t>
      </w:r>
      <w:r w:rsidRPr="00006A07">
        <w:rPr>
          <w:snapToGrid w:val="0"/>
          <w:lang w:val="bg-BG" w:eastAsia="en-US"/>
        </w:rPr>
        <w:fldChar w:fldCharType="end"/>
      </w:r>
      <w:r w:rsidRPr="00006A07">
        <w:rPr>
          <w:snapToGrid w:val="0"/>
          <w:lang w:val="bg-BG" w:eastAsia="en-US"/>
        </w:rPr>
        <w:t xml:space="preserve"> по-горе). Съдът отбелязва обаче, че както може да се види от условията на релевантните разпоредби в него, правото на Европейския съюз дава възможност, но не изисква държавите членки на Европейския съюз да разрешат „</w:t>
      </w:r>
      <w:proofErr w:type="spellStart"/>
      <w:r w:rsidRPr="00006A07">
        <w:rPr>
          <w:snapToGrid w:val="0"/>
          <w:lang w:val="bg-BG" w:eastAsia="en-US"/>
        </w:rPr>
        <w:t>палиативната</w:t>
      </w:r>
      <w:proofErr w:type="spellEnd"/>
      <w:r w:rsidRPr="00006A07">
        <w:rPr>
          <w:snapToGrid w:val="0"/>
          <w:lang w:val="bg-BG" w:eastAsia="en-US"/>
        </w:rPr>
        <w:t xml:space="preserve"> употреба“ на неразрешени за употреба лекарствени продукти (вж. параграфи </w:t>
      </w:r>
      <w:r w:rsidRPr="00006A07">
        <w:rPr>
          <w:snapToGrid w:val="0"/>
          <w:lang w:val="bg-BG" w:eastAsia="en-US"/>
        </w:rPr>
        <w:fldChar w:fldCharType="begin"/>
      </w:r>
      <w:r w:rsidRPr="00006A07">
        <w:rPr>
          <w:snapToGrid w:val="0"/>
          <w:lang w:val="bg-BG" w:eastAsia="en-US"/>
        </w:rPr>
        <w:instrText xml:space="preserve"> REF REUL_Directive_2001_83_EC_Article_5 \h </w:instrText>
      </w:r>
      <w:r w:rsidRPr="00006A07">
        <w:rPr>
          <w:snapToGrid w:val="0"/>
          <w:lang w:val="bg-BG" w:eastAsia="en-US"/>
        </w:rPr>
      </w:r>
      <w:r w:rsidRPr="00006A07">
        <w:rPr>
          <w:snapToGrid w:val="0"/>
          <w:lang w:val="bg-BG" w:eastAsia="en-US"/>
        </w:rPr>
        <w:fldChar w:fldCharType="separate"/>
      </w:r>
      <w:r w:rsidRPr="00006A07">
        <w:rPr>
          <w:noProof/>
          <w:lang w:val="bg-BG"/>
        </w:rPr>
        <w:t>45</w:t>
      </w:r>
      <w:r w:rsidRPr="00006A07">
        <w:rPr>
          <w:snapToGrid w:val="0"/>
          <w:lang w:val="bg-BG" w:eastAsia="en-US"/>
        </w:rPr>
        <w:fldChar w:fldCharType="end"/>
      </w:r>
      <w:r w:rsidRPr="00006A07">
        <w:rPr>
          <w:snapToGrid w:val="0"/>
          <w:lang w:val="bg-BG" w:eastAsia="en-US"/>
        </w:rPr>
        <w:t xml:space="preserve"> </w:t>
      </w:r>
      <w:r w:rsidRPr="00006A07">
        <w:rPr>
          <w:snapToGrid w:val="0"/>
          <w:lang w:val="bg-BG" w:eastAsia="en-US"/>
        </w:rPr>
        <w:noBreakHyphen/>
        <w:t xml:space="preserve"> </w:t>
      </w:r>
      <w:r w:rsidRPr="00006A07">
        <w:rPr>
          <w:snapToGrid w:val="0"/>
          <w:lang w:val="bg-BG" w:eastAsia="en-US"/>
        </w:rPr>
        <w:fldChar w:fldCharType="begin"/>
      </w:r>
      <w:r w:rsidRPr="00006A07">
        <w:rPr>
          <w:snapToGrid w:val="0"/>
          <w:lang w:val="bg-BG" w:eastAsia="en-US"/>
        </w:rPr>
        <w:instrText xml:space="preserve"> REF REUL_Regulation_726_2004_Article_83_gln \h </w:instrText>
      </w:r>
      <w:r w:rsidRPr="00006A07">
        <w:rPr>
          <w:snapToGrid w:val="0"/>
          <w:lang w:val="bg-BG" w:eastAsia="en-US"/>
        </w:rPr>
      </w:r>
      <w:r w:rsidRPr="00006A07">
        <w:rPr>
          <w:snapToGrid w:val="0"/>
          <w:lang w:val="bg-BG" w:eastAsia="en-US"/>
        </w:rPr>
        <w:fldChar w:fldCharType="separate"/>
      </w:r>
      <w:r w:rsidRPr="00006A07">
        <w:rPr>
          <w:noProof/>
          <w:lang w:val="bg-BG"/>
        </w:rPr>
        <w:t>51</w:t>
      </w:r>
      <w:r w:rsidRPr="00006A07">
        <w:rPr>
          <w:snapToGrid w:val="0"/>
          <w:lang w:val="bg-BG" w:eastAsia="en-US"/>
        </w:rPr>
        <w:fldChar w:fldCharType="end"/>
      </w:r>
      <w:r w:rsidRPr="00006A07">
        <w:rPr>
          <w:snapToGrid w:val="0"/>
          <w:lang w:val="bg-BG" w:eastAsia="en-US"/>
        </w:rPr>
        <w:t xml:space="preserve"> по-горе). Поради това няма основание за спор, че решенията на директора са в нарушение на това право. На последно място, Съдът не е убеден, че </w:t>
      </w:r>
      <w:r w:rsidRPr="00006A07">
        <w:rPr>
          <w:lang w:val="bg-BG"/>
        </w:rPr>
        <w:t xml:space="preserve">жалбоподателите биха могли успешно да оспорят решенията по силата на аргументи, основани на Конвенцията. Той взема предвид примерите на </w:t>
      </w:r>
      <w:r w:rsidRPr="00006A07">
        <w:rPr>
          <w:snapToGrid w:val="0"/>
          <w:lang w:val="bg-BG" w:eastAsia="en-US"/>
        </w:rPr>
        <w:t xml:space="preserve">Правителството, в които българските </w:t>
      </w:r>
      <w:r w:rsidRPr="00006A07">
        <w:rPr>
          <w:snapToGrid w:val="0"/>
          <w:lang w:val="bg-BG" w:eastAsia="en-US"/>
        </w:rPr>
        <w:lastRenderedPageBreak/>
        <w:t xml:space="preserve">съдилища се позовават на Конвенцията и на практиката на Съда, за да отменят административни решения или да се произнесат, че имат компетентност да преглеждат такива административни решения (вж. параграфи </w:t>
      </w:r>
      <w:r w:rsidRPr="00006A07">
        <w:rPr>
          <w:snapToGrid w:val="0"/>
          <w:lang w:val="bg-BG" w:eastAsia="en-US"/>
        </w:rPr>
        <w:fldChar w:fldCharType="begin"/>
      </w:r>
      <w:r w:rsidRPr="00006A07">
        <w:rPr>
          <w:snapToGrid w:val="0"/>
          <w:lang w:val="bg-BG" w:eastAsia="en-US"/>
        </w:rPr>
        <w:instrText xml:space="preserve"> REF RDL_G_decision_4 \h </w:instrText>
      </w:r>
      <w:r w:rsidRPr="00006A07">
        <w:rPr>
          <w:snapToGrid w:val="0"/>
          <w:lang w:val="bg-BG" w:eastAsia="en-US"/>
        </w:rPr>
      </w:r>
      <w:r w:rsidRPr="00006A07">
        <w:rPr>
          <w:snapToGrid w:val="0"/>
          <w:lang w:val="bg-BG" w:eastAsia="en-US"/>
        </w:rPr>
        <w:fldChar w:fldCharType="separate"/>
      </w:r>
      <w:r w:rsidRPr="00006A07">
        <w:rPr>
          <w:noProof/>
          <w:lang w:val="bg-BG"/>
        </w:rPr>
        <w:t>39</w:t>
      </w:r>
      <w:r w:rsidRPr="00006A07">
        <w:rPr>
          <w:snapToGrid w:val="0"/>
          <w:lang w:val="bg-BG" w:eastAsia="en-US"/>
        </w:rPr>
        <w:fldChar w:fldCharType="end"/>
      </w:r>
      <w:r w:rsidRPr="00006A07">
        <w:rPr>
          <w:snapToGrid w:val="0"/>
          <w:lang w:val="bg-BG" w:eastAsia="en-US"/>
        </w:rPr>
        <w:t xml:space="preserve"> и </w:t>
      </w:r>
      <w:r w:rsidRPr="00006A07">
        <w:rPr>
          <w:snapToGrid w:val="0"/>
          <w:lang w:val="bg-BG" w:eastAsia="en-US"/>
        </w:rPr>
        <w:fldChar w:fldCharType="begin"/>
      </w:r>
      <w:r w:rsidRPr="00006A07">
        <w:rPr>
          <w:snapToGrid w:val="0"/>
          <w:lang w:val="bg-BG" w:eastAsia="en-US"/>
        </w:rPr>
        <w:instrText xml:space="preserve"> REF RDL_G_decisions_5_6 \h </w:instrText>
      </w:r>
      <w:r w:rsidRPr="00006A07">
        <w:rPr>
          <w:snapToGrid w:val="0"/>
          <w:lang w:val="bg-BG" w:eastAsia="en-US"/>
        </w:rPr>
      </w:r>
      <w:r w:rsidRPr="00006A07">
        <w:rPr>
          <w:snapToGrid w:val="0"/>
          <w:lang w:val="bg-BG" w:eastAsia="en-US"/>
        </w:rPr>
        <w:fldChar w:fldCharType="separate"/>
      </w:r>
      <w:r w:rsidRPr="00006A07">
        <w:rPr>
          <w:noProof/>
          <w:lang w:val="bg-BG"/>
        </w:rPr>
        <w:t>40</w:t>
      </w:r>
      <w:r w:rsidRPr="00006A07">
        <w:rPr>
          <w:snapToGrid w:val="0"/>
          <w:lang w:val="bg-BG" w:eastAsia="en-US"/>
        </w:rPr>
        <w:fldChar w:fldCharType="end"/>
      </w:r>
      <w:r w:rsidRPr="00006A07">
        <w:rPr>
          <w:snapToGrid w:val="0"/>
          <w:lang w:val="bg-BG" w:eastAsia="en-US"/>
        </w:rPr>
        <w:t xml:space="preserve"> по-горе). Въпреки това не може да бъде подминат фактът, че във всички тези примери българските </w:t>
      </w:r>
      <w:r w:rsidRPr="00006A07">
        <w:rPr>
          <w:lang w:val="bg-BG"/>
        </w:rPr>
        <w:t>съдилища постановяват решенията си въз основа на установената практика на този Съд, докато до този момент в практиката на Съда няма солидно основание, въз основа на което да се заключи, че невъзможността за достъп до неразрешени за употреба лекарствени продукти въз основа на „</w:t>
      </w:r>
      <w:proofErr w:type="spellStart"/>
      <w:r w:rsidRPr="00006A07">
        <w:rPr>
          <w:lang w:val="bg-BG"/>
        </w:rPr>
        <w:t>палиативна</w:t>
      </w:r>
      <w:proofErr w:type="spellEnd"/>
      <w:r w:rsidRPr="00006A07">
        <w:rPr>
          <w:lang w:val="bg-BG"/>
        </w:rPr>
        <w:t xml:space="preserve"> употреба“ е в нарушение на Конвенцията. Въпросът е нов и не е изчистен от съмнения. Съдът си дава сметка, че неговата роля има за цел да допълва тази на националните системи, които защитават правата на човека, и че националните съдилища обикновено следва да имат първоначалната възможност да се произнесат дали националното право е в съответствие с Конвенцията (вж. </w:t>
      </w:r>
      <w:proofErr w:type="spellStart"/>
      <w:r w:rsidRPr="00006A07">
        <w:rPr>
          <w:i/>
          <w:iCs/>
          <w:lang w:val="bg-BG" w:eastAsia="en-US"/>
        </w:rPr>
        <w:t>Burden</w:t>
      </w:r>
      <w:proofErr w:type="spellEnd"/>
      <w:r w:rsidRPr="00006A07">
        <w:rPr>
          <w:i/>
          <w:iCs/>
          <w:lang w:val="bg-BG" w:eastAsia="en-US"/>
        </w:rPr>
        <w:t xml:space="preserve"> v. </w:t>
      </w:r>
      <w:proofErr w:type="spellStart"/>
      <w:r w:rsidRPr="00006A07">
        <w:rPr>
          <w:i/>
          <w:iCs/>
          <w:lang w:val="bg-BG" w:eastAsia="en-US"/>
        </w:rPr>
        <w:t>the</w:t>
      </w:r>
      <w:proofErr w:type="spellEnd"/>
      <w:r w:rsidRPr="00006A07">
        <w:rPr>
          <w:i/>
          <w:iCs/>
          <w:lang w:val="bg-BG" w:eastAsia="en-US"/>
        </w:rPr>
        <w:t xml:space="preserve"> </w:t>
      </w:r>
      <w:proofErr w:type="spellStart"/>
      <w:r w:rsidRPr="00006A07">
        <w:rPr>
          <w:i/>
          <w:iCs/>
          <w:lang w:val="bg-BG" w:eastAsia="en-US"/>
        </w:rPr>
        <w:t>United</w:t>
      </w:r>
      <w:proofErr w:type="spellEnd"/>
      <w:r w:rsidRPr="00006A07">
        <w:rPr>
          <w:i/>
          <w:iCs/>
          <w:lang w:val="bg-BG" w:eastAsia="en-US"/>
        </w:rPr>
        <w:t xml:space="preserve"> </w:t>
      </w:r>
      <w:proofErr w:type="spellStart"/>
      <w:r w:rsidRPr="00006A07">
        <w:rPr>
          <w:i/>
          <w:iCs/>
          <w:lang w:val="bg-BG" w:eastAsia="en-US"/>
        </w:rPr>
        <w:t>Kingdom</w:t>
      </w:r>
      <w:proofErr w:type="spellEnd"/>
      <w:r w:rsidRPr="00006A07">
        <w:rPr>
          <w:lang w:val="bg-BG" w:eastAsia="en-US"/>
        </w:rPr>
        <w:t xml:space="preserve"> [GC], </w:t>
      </w:r>
      <w:proofErr w:type="spellStart"/>
      <w:r w:rsidRPr="00006A07">
        <w:rPr>
          <w:lang w:val="bg-BG" w:eastAsia="en-US"/>
        </w:rPr>
        <w:t>no</w:t>
      </w:r>
      <w:proofErr w:type="spellEnd"/>
      <w:r w:rsidRPr="00006A07">
        <w:rPr>
          <w:lang w:val="bg-BG" w:eastAsia="en-US"/>
        </w:rPr>
        <w:t>. 13378/05, § 42, ECHR 2008</w:t>
      </w:r>
      <w:r w:rsidRPr="00006A07">
        <w:rPr>
          <w:lang w:val="bg-BG" w:eastAsia="en-US"/>
        </w:rPr>
        <w:noBreakHyphen/>
        <w:t xml:space="preserve">...). Въпреки това Съдът счита, че примерите, цитирани от Правителството, не могат да доведат до заключението, че при конкретните обстоятелства по този случай, едно оспорване пред националните съдилища въз основа на аргументи, свързани с Конвенцията, </w:t>
      </w:r>
      <w:r w:rsidRPr="00006A07">
        <w:rPr>
          <w:lang w:val="bg-BG"/>
        </w:rPr>
        <w:t xml:space="preserve">би имало разумни изгледи за успех (вж., </w:t>
      </w:r>
      <w:proofErr w:type="spellStart"/>
      <w:r w:rsidRPr="00006A07">
        <w:rPr>
          <w:i/>
          <w:iCs/>
          <w:lang w:val="bg-BG"/>
        </w:rPr>
        <w:t>mutatis</w:t>
      </w:r>
      <w:proofErr w:type="spellEnd"/>
      <w:r w:rsidRPr="00006A07">
        <w:rPr>
          <w:i/>
          <w:iCs/>
          <w:lang w:val="bg-BG"/>
        </w:rPr>
        <w:t xml:space="preserve"> </w:t>
      </w:r>
      <w:proofErr w:type="spellStart"/>
      <w:r w:rsidRPr="00006A07">
        <w:rPr>
          <w:i/>
          <w:iCs/>
          <w:lang w:val="bg-BG"/>
        </w:rPr>
        <w:t>mutandis</w:t>
      </w:r>
      <w:proofErr w:type="spellEnd"/>
      <w:r w:rsidRPr="00006A07">
        <w:rPr>
          <w:lang w:val="bg-BG"/>
        </w:rPr>
        <w:t xml:space="preserve">, </w:t>
      </w:r>
      <w:proofErr w:type="spellStart"/>
      <w:r w:rsidRPr="00006A07">
        <w:rPr>
          <w:i/>
          <w:iCs/>
          <w:lang w:val="bg-BG"/>
        </w:rPr>
        <w:t>Slavgorodski</w:t>
      </w:r>
      <w:proofErr w:type="spellEnd"/>
      <w:r w:rsidRPr="00006A07">
        <w:rPr>
          <w:i/>
          <w:iCs/>
          <w:lang w:val="bg-BG"/>
        </w:rPr>
        <w:t xml:space="preserve"> v. </w:t>
      </w:r>
      <w:proofErr w:type="spellStart"/>
      <w:r w:rsidRPr="00006A07">
        <w:rPr>
          <w:i/>
          <w:iCs/>
          <w:lang w:val="bg-BG"/>
        </w:rPr>
        <w:t>Estonia</w:t>
      </w:r>
      <w:proofErr w:type="spellEnd"/>
      <w:r w:rsidRPr="00006A07">
        <w:rPr>
          <w:lang w:val="bg-BG"/>
        </w:rPr>
        <w:t xml:space="preserve"> (</w:t>
      </w:r>
      <w:proofErr w:type="spellStart"/>
      <w:r w:rsidRPr="00006A07">
        <w:rPr>
          <w:lang w:val="bg-BG"/>
        </w:rPr>
        <w:t>dec</w:t>
      </w:r>
      <w:proofErr w:type="spellEnd"/>
      <w:r w:rsidRPr="00006A07">
        <w:rPr>
          <w:lang w:val="bg-BG"/>
        </w:rPr>
        <w:t xml:space="preserve">.), </w:t>
      </w:r>
      <w:proofErr w:type="spellStart"/>
      <w:r w:rsidRPr="00006A07">
        <w:rPr>
          <w:lang w:val="bg-BG"/>
        </w:rPr>
        <w:t>no</w:t>
      </w:r>
      <w:proofErr w:type="spellEnd"/>
      <w:r w:rsidRPr="00006A07">
        <w:rPr>
          <w:lang w:val="bg-BG"/>
        </w:rPr>
        <w:t>. 37043/97, 9 март 1999 г.</w:t>
      </w:r>
      <w:r>
        <w:rPr>
          <w:lang w:val="bg-BG"/>
        </w:rPr>
        <w:t xml:space="preserve">, и </w:t>
      </w:r>
      <w:proofErr w:type="spellStart"/>
      <w:r w:rsidRPr="00006A07">
        <w:rPr>
          <w:i/>
          <w:iCs/>
          <w:lang w:val="bg-BG" w:eastAsia="en-US"/>
        </w:rPr>
        <w:t>Odièvre</w:t>
      </w:r>
      <w:proofErr w:type="spellEnd"/>
      <w:r w:rsidRPr="00006A07">
        <w:rPr>
          <w:i/>
          <w:iCs/>
          <w:lang w:val="bg-BG" w:eastAsia="en-US"/>
        </w:rPr>
        <w:t xml:space="preserve"> v. </w:t>
      </w:r>
      <w:proofErr w:type="spellStart"/>
      <w:r w:rsidRPr="00006A07">
        <w:rPr>
          <w:i/>
          <w:iCs/>
          <w:lang w:val="bg-BG" w:eastAsia="en-US"/>
        </w:rPr>
        <w:t>France</w:t>
      </w:r>
      <w:proofErr w:type="spellEnd"/>
      <w:r w:rsidRPr="00006A07">
        <w:rPr>
          <w:i/>
          <w:iCs/>
          <w:lang w:val="bg-BG" w:eastAsia="en-US"/>
        </w:rPr>
        <w:t xml:space="preserve"> </w:t>
      </w:r>
      <w:r w:rsidRPr="00006A07">
        <w:rPr>
          <w:lang w:val="bg-BG" w:eastAsia="en-US"/>
        </w:rPr>
        <w:t>[GC],</w:t>
      </w:r>
      <w:proofErr w:type="spellStart"/>
      <w:r w:rsidRPr="00006A07">
        <w:rPr>
          <w:lang w:val="bg-BG" w:eastAsia="en-US"/>
        </w:rPr>
        <w:t>no</w:t>
      </w:r>
      <w:proofErr w:type="spellEnd"/>
      <w:r w:rsidRPr="00006A07">
        <w:rPr>
          <w:lang w:val="bg-BG" w:eastAsia="en-US"/>
        </w:rPr>
        <w:t>. 42326/98, §§ 21 и 23, ECHR 2003</w:t>
      </w:r>
      <w:r w:rsidRPr="00006A07">
        <w:rPr>
          <w:lang w:val="bg-BG" w:eastAsia="en-US"/>
        </w:rPr>
        <w:noBreakHyphen/>
        <w:t>III</w:t>
      </w:r>
      <w:r w:rsidRPr="00006A07">
        <w:rPr>
          <w:lang w:val="bg-BG"/>
        </w:rPr>
        <w:t xml:space="preserve">). Съдът отбелязва също така, че както Правителството само признава, българските съдилища никога не са се занимавали с въпроса за употребата на неразрешени за употреба лекарствени продукти; изглежда, че от 1995 г., когато министърът на здравеопазването за първи път приема подзаконова уредба по този въпрос, няма информация за дела във връзка с тази подзаконова уредба (вж. параграф </w:t>
      </w:r>
      <w:r w:rsidRPr="00006A07">
        <w:rPr>
          <w:lang w:val="bg-BG"/>
        </w:rPr>
        <w:fldChar w:fldCharType="begin"/>
      </w:r>
      <w:r w:rsidRPr="00006A07">
        <w:rPr>
          <w:lang w:val="bg-BG"/>
        </w:rPr>
        <w:instrText xml:space="preserve"> REF RDL_Regulations_18_2_10_no_case_law \h </w:instrText>
      </w:r>
      <w:r w:rsidRPr="00006A07">
        <w:rPr>
          <w:lang w:val="bg-BG"/>
        </w:rPr>
      </w:r>
      <w:r w:rsidRPr="00006A07">
        <w:rPr>
          <w:lang w:val="bg-BG"/>
        </w:rPr>
        <w:fldChar w:fldCharType="separate"/>
      </w:r>
      <w:r w:rsidRPr="00006A07">
        <w:rPr>
          <w:noProof/>
          <w:lang w:val="bg-BG"/>
        </w:rPr>
        <w:t>34</w:t>
      </w:r>
      <w:r w:rsidRPr="00006A07">
        <w:rPr>
          <w:lang w:val="bg-BG"/>
        </w:rPr>
        <w:fldChar w:fldCharType="end"/>
      </w:r>
      <w:r w:rsidRPr="00006A07">
        <w:rPr>
          <w:lang w:val="bg-BG"/>
        </w:rPr>
        <w:t xml:space="preserve"> по-горе).</w:t>
      </w:r>
    </w:p>
    <w:p w:rsidR="0095532B" w:rsidRPr="00006A07" w:rsidRDefault="0095532B" w:rsidP="008D7A78">
      <w:pPr>
        <w:pStyle w:val="JuPara"/>
        <w:rPr>
          <w:snapToGrid w:val="0"/>
          <w:lang w:val="bg-BG" w:eastAsia="en-US"/>
        </w:rPr>
      </w:pPr>
      <w:r w:rsidRPr="00006A07">
        <w:rPr>
          <w:lang w:val="bg-BG"/>
        </w:rPr>
        <w:fldChar w:fldCharType="begin"/>
      </w:r>
      <w:r w:rsidRPr="00006A07">
        <w:rPr>
          <w:lang w:val="bg-BG"/>
        </w:rPr>
        <w:instrText xml:space="preserve"> SEQ level0 \*arabic </w:instrText>
      </w:r>
      <w:r w:rsidRPr="00006A07">
        <w:rPr>
          <w:lang w:val="bg-BG"/>
        </w:rPr>
        <w:fldChar w:fldCharType="separate"/>
      </w:r>
      <w:r w:rsidRPr="00006A07">
        <w:rPr>
          <w:noProof/>
          <w:lang w:val="bg-BG"/>
        </w:rPr>
        <w:t>87</w:t>
      </w:r>
      <w:r w:rsidRPr="00006A07">
        <w:rPr>
          <w:lang w:val="bg-BG"/>
        </w:rPr>
        <w:fldChar w:fldCharType="end"/>
      </w:r>
      <w:r w:rsidRPr="00006A07">
        <w:rPr>
          <w:lang w:val="bg-BG"/>
        </w:rPr>
        <w:t xml:space="preserve">.  Тежестта на доказване пада върху Правителството, което твърди, че няма изчерпване, да убеди Съда, че правното средство за защита, което посочва, предлага разумни изгледи за успех (вж., като скорошен източник, </w:t>
      </w:r>
      <w:proofErr w:type="spellStart"/>
      <w:r w:rsidRPr="00006A07">
        <w:rPr>
          <w:i/>
          <w:iCs/>
          <w:lang w:val="bg-BG"/>
        </w:rPr>
        <w:t>Nada</w:t>
      </w:r>
      <w:proofErr w:type="spellEnd"/>
      <w:r w:rsidRPr="00006A07">
        <w:rPr>
          <w:i/>
          <w:iCs/>
          <w:lang w:val="bg-BG"/>
        </w:rPr>
        <w:t xml:space="preserve"> v. </w:t>
      </w:r>
      <w:proofErr w:type="spellStart"/>
      <w:r w:rsidRPr="00006A07">
        <w:rPr>
          <w:i/>
          <w:iCs/>
          <w:lang w:val="bg-BG"/>
        </w:rPr>
        <w:t>Switzerland</w:t>
      </w:r>
      <w:proofErr w:type="spellEnd"/>
      <w:r w:rsidRPr="00006A07">
        <w:rPr>
          <w:i/>
          <w:iCs/>
          <w:lang w:val="bg-BG"/>
        </w:rPr>
        <w:t xml:space="preserve"> </w:t>
      </w:r>
      <w:r w:rsidRPr="00006A07">
        <w:rPr>
          <w:lang w:val="bg-BG"/>
        </w:rPr>
        <w:t xml:space="preserve">[GC], </w:t>
      </w:r>
      <w:proofErr w:type="spellStart"/>
      <w:r w:rsidRPr="00006A07">
        <w:rPr>
          <w:lang w:val="bg-BG"/>
        </w:rPr>
        <w:t>no</w:t>
      </w:r>
      <w:proofErr w:type="spellEnd"/>
      <w:r w:rsidRPr="00006A07">
        <w:rPr>
          <w:lang w:val="bg-BG"/>
        </w:rPr>
        <w:t>. 10593/08</w:t>
      </w:r>
      <w:r w:rsidRPr="00006A07">
        <w:rPr>
          <w:snapToGrid w:val="0"/>
          <w:lang w:val="bg-BG"/>
        </w:rPr>
        <w:t xml:space="preserve">, § 141, </w:t>
      </w:r>
      <w:r w:rsidRPr="00006A07">
        <w:rPr>
          <w:lang w:val="bg-BG"/>
        </w:rPr>
        <w:t>12 септември</w:t>
      </w:r>
      <w:r w:rsidRPr="00006A07">
        <w:rPr>
          <w:snapToGrid w:val="0"/>
          <w:lang w:val="bg-BG"/>
        </w:rPr>
        <w:t xml:space="preserve"> 2012 г.</w:t>
      </w:r>
      <w:r w:rsidRPr="00006A07">
        <w:rPr>
          <w:lang w:val="bg-BG"/>
        </w:rPr>
        <w:t xml:space="preserve">). С оглед на гореизложените причини, Съдът не е убеден, че би могло да се приеме, че обжалването по съдебен ред на решенията на директора на Изпълнителната агенция по лекарствата предлага такива изгледи. </w:t>
      </w:r>
    </w:p>
    <w:p w:rsidR="0095532B" w:rsidRPr="00006A07" w:rsidRDefault="0095532B" w:rsidP="008D7A78">
      <w:pPr>
        <w:pStyle w:val="JuPara"/>
        <w:rPr>
          <w:lang w:val="bg-BG"/>
        </w:rPr>
      </w:pPr>
      <w:r w:rsidRPr="00006A07">
        <w:rPr>
          <w:lang w:val="bg-BG" w:eastAsia="en-US"/>
        </w:rPr>
        <w:fldChar w:fldCharType="begin"/>
      </w:r>
      <w:r w:rsidRPr="00006A07">
        <w:rPr>
          <w:lang w:val="bg-BG" w:eastAsia="en-US"/>
        </w:rPr>
        <w:instrText xml:space="preserve"> SEQ level0 \*arabic </w:instrText>
      </w:r>
      <w:r w:rsidRPr="00006A07">
        <w:rPr>
          <w:lang w:val="bg-BG" w:eastAsia="en-US"/>
        </w:rPr>
        <w:fldChar w:fldCharType="separate"/>
      </w:r>
      <w:r w:rsidRPr="00006A07">
        <w:rPr>
          <w:noProof/>
          <w:lang w:val="bg-BG" w:eastAsia="en-US"/>
        </w:rPr>
        <w:t>88</w:t>
      </w:r>
      <w:r w:rsidRPr="00006A07">
        <w:rPr>
          <w:lang w:val="bg-BG" w:eastAsia="en-US"/>
        </w:rPr>
        <w:fldChar w:fldCharType="end"/>
      </w:r>
      <w:r w:rsidRPr="00006A07">
        <w:rPr>
          <w:lang w:val="bg-BG" w:eastAsia="en-US"/>
        </w:rPr>
        <w:t xml:space="preserve">.  Съдът не е убеден също така, че жалбоподателите успешно биха могли да обжалват </w:t>
      </w:r>
      <w:r w:rsidRPr="00006A07">
        <w:rPr>
          <w:lang w:val="bg-BG"/>
        </w:rPr>
        <w:t xml:space="preserve">по съдебен ред </w:t>
      </w:r>
      <w:r w:rsidRPr="00006A07">
        <w:rPr>
          <w:lang w:val="bg-BG" w:eastAsia="en-US"/>
        </w:rPr>
        <w:t xml:space="preserve">наредбите, на които са основани тези решения. Тези наредби не изглежда да са в противоречие със законово правило от по-висок ранг, конституционно правило, или правило от правото на Европейския съюз. Поради това няма основание от националното право или правото на Европейския съюз, на което да бъдат обжалвани наредбите. Съдът не е убеден също и, че </w:t>
      </w:r>
      <w:r w:rsidRPr="00006A07">
        <w:rPr>
          <w:lang w:val="bg-BG"/>
        </w:rPr>
        <w:lastRenderedPageBreak/>
        <w:t xml:space="preserve">жалбоподателите биха могли успешно да оспорят наредбите по силата на аргументи, основани на Конвенцията. Действително, Върховният административен съд по-рано е отменял нормативни актове въз основа на това, че са противоречали на Конвенцията, когато несъответствието между двете е било ясно (вж. решенията, цитирани в параграф </w:t>
      </w:r>
      <w:r w:rsidRPr="00006A07">
        <w:rPr>
          <w:lang w:val="bg-BG"/>
        </w:rPr>
        <w:fldChar w:fldCharType="begin"/>
      </w:r>
      <w:r w:rsidRPr="00006A07">
        <w:rPr>
          <w:lang w:val="bg-BG"/>
        </w:rPr>
        <w:instrText xml:space="preserve"> REF RDL_G_decision_1 \h </w:instrText>
      </w:r>
      <w:r w:rsidRPr="00006A07">
        <w:rPr>
          <w:lang w:val="bg-BG"/>
        </w:rPr>
      </w:r>
      <w:r w:rsidRPr="00006A07">
        <w:rPr>
          <w:lang w:val="bg-BG"/>
        </w:rPr>
        <w:fldChar w:fldCharType="separate"/>
      </w:r>
      <w:r w:rsidRPr="00006A07">
        <w:rPr>
          <w:noProof/>
          <w:lang w:val="bg-BG"/>
        </w:rPr>
        <w:t>37</w:t>
      </w:r>
      <w:r w:rsidRPr="00006A07">
        <w:rPr>
          <w:lang w:val="bg-BG"/>
        </w:rPr>
        <w:fldChar w:fldCharType="end"/>
      </w:r>
      <w:r w:rsidRPr="00006A07">
        <w:rPr>
          <w:lang w:val="bg-BG"/>
        </w:rPr>
        <w:t xml:space="preserve"> по-горе и в </w:t>
      </w:r>
      <w:proofErr w:type="spellStart"/>
      <w:r w:rsidRPr="00006A07">
        <w:rPr>
          <w:i/>
          <w:iCs/>
          <w:lang w:val="bg-BG" w:eastAsia="en-US"/>
        </w:rPr>
        <w:t>Bochev</w:t>
      </w:r>
      <w:proofErr w:type="spellEnd"/>
      <w:r w:rsidRPr="00006A07">
        <w:rPr>
          <w:i/>
          <w:iCs/>
          <w:lang w:val="bg-BG" w:eastAsia="en-US"/>
        </w:rPr>
        <w:t xml:space="preserve"> v. </w:t>
      </w:r>
      <w:proofErr w:type="spellStart"/>
      <w:r w:rsidRPr="00006A07">
        <w:rPr>
          <w:i/>
          <w:iCs/>
          <w:lang w:val="bg-BG" w:eastAsia="en-US"/>
        </w:rPr>
        <w:t>Bulgaria</w:t>
      </w:r>
      <w:proofErr w:type="spellEnd"/>
      <w:r w:rsidRPr="00006A07">
        <w:rPr>
          <w:lang w:val="bg-BG" w:eastAsia="en-US"/>
        </w:rPr>
        <w:t xml:space="preserve">, </w:t>
      </w:r>
      <w:proofErr w:type="spellStart"/>
      <w:r w:rsidRPr="00006A07">
        <w:rPr>
          <w:lang w:val="bg-BG" w:eastAsia="en-US"/>
        </w:rPr>
        <w:t>no</w:t>
      </w:r>
      <w:proofErr w:type="spellEnd"/>
      <w:r w:rsidRPr="00006A07">
        <w:rPr>
          <w:lang w:val="bg-BG" w:eastAsia="en-US"/>
        </w:rPr>
        <w:t xml:space="preserve">. 73481/01, § 45, 13 ноември 2008 г.). По случаи, в които несъответствието обаче не е било непосредствено очевидно, той е отказал да отмени съответния акт (вж. решенията, цитирани в </w:t>
      </w:r>
      <w:proofErr w:type="spellStart"/>
      <w:r w:rsidRPr="00006A07">
        <w:rPr>
          <w:i/>
          <w:iCs/>
          <w:lang w:val="bg-BG" w:eastAsia="en-US"/>
        </w:rPr>
        <w:t>Ponomaryovi</w:t>
      </w:r>
      <w:proofErr w:type="spellEnd"/>
      <w:r w:rsidRPr="00006A07">
        <w:rPr>
          <w:i/>
          <w:iCs/>
          <w:lang w:val="bg-BG" w:eastAsia="en-US"/>
        </w:rPr>
        <w:t xml:space="preserve"> v. </w:t>
      </w:r>
      <w:proofErr w:type="spellStart"/>
      <w:r w:rsidRPr="00006A07">
        <w:rPr>
          <w:i/>
          <w:iCs/>
          <w:lang w:val="bg-BG" w:eastAsia="en-US"/>
        </w:rPr>
        <w:t>Bulgaria</w:t>
      </w:r>
      <w:proofErr w:type="spellEnd"/>
      <w:r w:rsidRPr="00006A07">
        <w:rPr>
          <w:lang w:val="bg-BG" w:eastAsia="en-US"/>
        </w:rPr>
        <w:t xml:space="preserve">, </w:t>
      </w:r>
      <w:proofErr w:type="spellStart"/>
      <w:r w:rsidRPr="00006A07">
        <w:rPr>
          <w:lang w:val="bg-BG" w:eastAsia="en-US"/>
        </w:rPr>
        <w:t>no</w:t>
      </w:r>
      <w:proofErr w:type="spellEnd"/>
      <w:r w:rsidRPr="00006A07">
        <w:rPr>
          <w:lang w:val="bg-BG" w:eastAsia="en-US"/>
        </w:rPr>
        <w:t>. 5335/05, §§ 23</w:t>
      </w:r>
      <w:r w:rsidRPr="00006A07">
        <w:rPr>
          <w:lang w:val="bg-BG" w:eastAsia="en-US"/>
        </w:rPr>
        <w:noBreakHyphen/>
        <w:t>24, ECHR 2011 г.</w:t>
      </w:r>
      <w:r w:rsidRPr="00006A07">
        <w:rPr>
          <w:lang w:val="bg-BG" w:eastAsia="en-US"/>
        </w:rPr>
        <w:noBreakHyphen/>
        <w:t xml:space="preserve">...). Както вече беше отбелязано, в настоящото дело далеч не е ясно дали невъзможността за </w:t>
      </w:r>
      <w:r w:rsidRPr="00006A07">
        <w:rPr>
          <w:lang w:val="bg-BG"/>
        </w:rPr>
        <w:t>достъп до неразрешени за употреба лекарствени продукти въз основа на „</w:t>
      </w:r>
      <w:proofErr w:type="spellStart"/>
      <w:r w:rsidRPr="00006A07">
        <w:rPr>
          <w:lang w:val="bg-BG"/>
        </w:rPr>
        <w:t>палиативна</w:t>
      </w:r>
      <w:proofErr w:type="spellEnd"/>
      <w:r w:rsidRPr="00006A07">
        <w:rPr>
          <w:lang w:val="bg-BG"/>
        </w:rPr>
        <w:t xml:space="preserve"> употреба“ е в нарушение на Конвенцията.</w:t>
      </w:r>
    </w:p>
    <w:p w:rsidR="0095532B" w:rsidRPr="00006A07" w:rsidRDefault="0095532B" w:rsidP="008D7A78">
      <w:pPr>
        <w:pStyle w:val="JuPara"/>
        <w:rPr>
          <w:lang w:val="bg-BG"/>
        </w:rPr>
      </w:pPr>
      <w:r w:rsidRPr="00006A07">
        <w:rPr>
          <w:lang w:val="bg-BG"/>
        </w:rPr>
        <w:fldChar w:fldCharType="begin"/>
      </w:r>
      <w:r w:rsidRPr="00006A07">
        <w:rPr>
          <w:lang w:val="bg-BG"/>
        </w:rPr>
        <w:instrText xml:space="preserve"> SEQ level0 \*arabic </w:instrText>
      </w:r>
      <w:r w:rsidRPr="00006A07">
        <w:rPr>
          <w:lang w:val="bg-BG"/>
        </w:rPr>
        <w:fldChar w:fldCharType="separate"/>
      </w:r>
      <w:r w:rsidRPr="00006A07">
        <w:rPr>
          <w:noProof/>
          <w:lang w:val="bg-BG"/>
        </w:rPr>
        <w:t>89</w:t>
      </w:r>
      <w:r w:rsidRPr="00006A07">
        <w:rPr>
          <w:lang w:val="bg-BG"/>
        </w:rPr>
        <w:fldChar w:fldCharType="end"/>
      </w:r>
      <w:r w:rsidRPr="00006A07">
        <w:rPr>
          <w:lang w:val="bg-BG"/>
        </w:rPr>
        <w:t>. С оглед на тези заключения, Съдът не намира за необходимо да проучи дали ефективността на правното средство за защита, предложено от Правителството, би била възпрепятствана поради неясноти относно това дали обжалването на решенията на директора или на наредбите, на които те са основани, би било разгледано по същество, поради твърдяната невъзможност да се получат независими експертни мнения или поради, твърдените ограничени правомощия на Върховния административен съд при производствата по преглед на нормативни актове. Също така не е необходимо да се спекулира дали производството по такова обжалване би продълж</w:t>
      </w:r>
      <w:r>
        <w:rPr>
          <w:lang w:val="bg-BG"/>
        </w:rPr>
        <w:t>и</w:t>
      </w:r>
      <w:r w:rsidRPr="00006A07">
        <w:rPr>
          <w:lang w:val="bg-BG"/>
        </w:rPr>
        <w:t xml:space="preserve">ло толкова дълго, че произнесено по него решение в полза на жалбоподателите да бъде лишено от практически смисъл. </w:t>
      </w:r>
    </w:p>
    <w:p w:rsidR="0095532B" w:rsidRPr="00006A07" w:rsidRDefault="0095532B" w:rsidP="008D7A78">
      <w:pPr>
        <w:pStyle w:val="JuPara"/>
        <w:rPr>
          <w:lang w:val="bg-BG"/>
        </w:rPr>
      </w:pPr>
      <w:r w:rsidRPr="00006A07">
        <w:rPr>
          <w:lang w:val="bg-BG"/>
        </w:rPr>
        <w:fldChar w:fldCharType="begin"/>
      </w:r>
      <w:r w:rsidRPr="00006A07">
        <w:rPr>
          <w:lang w:val="bg-BG"/>
        </w:rPr>
        <w:instrText xml:space="preserve"> SEQ level0 \*arabic </w:instrText>
      </w:r>
      <w:r w:rsidRPr="00006A07">
        <w:rPr>
          <w:lang w:val="bg-BG"/>
        </w:rPr>
        <w:fldChar w:fldCharType="separate"/>
      </w:r>
      <w:r w:rsidRPr="00006A07">
        <w:rPr>
          <w:noProof/>
          <w:lang w:val="bg-BG"/>
        </w:rPr>
        <w:t>90</w:t>
      </w:r>
      <w:r w:rsidRPr="00006A07">
        <w:rPr>
          <w:lang w:val="bg-BG"/>
        </w:rPr>
        <w:fldChar w:fldCharType="end"/>
      </w:r>
      <w:r w:rsidRPr="00006A07">
        <w:rPr>
          <w:lang w:val="bg-BG"/>
        </w:rPr>
        <w:t>.  Следователно възражението на Правителството следва да бъде отхвърлено.</w:t>
      </w:r>
    </w:p>
    <w:p w:rsidR="0095532B" w:rsidRPr="00006A07" w:rsidRDefault="0095532B" w:rsidP="008D7A78">
      <w:pPr>
        <w:pStyle w:val="JuHA"/>
        <w:rPr>
          <w:lang w:val="bg-BG"/>
        </w:rPr>
      </w:pPr>
      <w:r w:rsidRPr="00006A07">
        <w:rPr>
          <w:lang w:val="bg-BG"/>
        </w:rPr>
        <w:t xml:space="preserve">В.  Съответствие </w:t>
      </w:r>
      <w:proofErr w:type="spellStart"/>
      <w:r w:rsidRPr="00006A07">
        <w:rPr>
          <w:i/>
          <w:iCs/>
          <w:lang w:val="bg-BG"/>
        </w:rPr>
        <w:t>ratione</w:t>
      </w:r>
      <w:proofErr w:type="spellEnd"/>
      <w:r w:rsidRPr="00006A07">
        <w:rPr>
          <w:i/>
          <w:iCs/>
          <w:lang w:val="bg-BG"/>
        </w:rPr>
        <w:t xml:space="preserve"> </w:t>
      </w:r>
      <w:proofErr w:type="spellStart"/>
      <w:r w:rsidRPr="00006A07">
        <w:rPr>
          <w:i/>
          <w:iCs/>
          <w:lang w:val="bg-BG"/>
        </w:rPr>
        <w:t>materiae</w:t>
      </w:r>
      <w:proofErr w:type="spellEnd"/>
    </w:p>
    <w:p w:rsidR="0095532B" w:rsidRPr="00006A07" w:rsidRDefault="0095532B" w:rsidP="008D7A78">
      <w:pPr>
        <w:pStyle w:val="JuPara"/>
        <w:rPr>
          <w:lang w:val="bg-BG"/>
        </w:rPr>
      </w:pPr>
      <w:r w:rsidRPr="00006A07">
        <w:rPr>
          <w:lang w:val="bg-BG"/>
        </w:rPr>
        <w:fldChar w:fldCharType="begin"/>
      </w:r>
      <w:r w:rsidRPr="00006A07">
        <w:rPr>
          <w:lang w:val="bg-BG"/>
        </w:rPr>
        <w:instrText xml:space="preserve"> SEQ level0 \*arabic </w:instrText>
      </w:r>
      <w:r w:rsidRPr="00006A07">
        <w:rPr>
          <w:lang w:val="bg-BG"/>
        </w:rPr>
        <w:fldChar w:fldCharType="separate"/>
      </w:r>
      <w:r w:rsidRPr="00006A07">
        <w:rPr>
          <w:noProof/>
          <w:lang w:val="bg-BG"/>
        </w:rPr>
        <w:t>91</w:t>
      </w:r>
      <w:r w:rsidRPr="00006A07">
        <w:rPr>
          <w:lang w:val="bg-BG"/>
        </w:rPr>
        <w:fldChar w:fldCharType="end"/>
      </w:r>
      <w:r w:rsidRPr="00006A07">
        <w:rPr>
          <w:lang w:val="bg-BG"/>
        </w:rPr>
        <w:t xml:space="preserve">.  Правителството твърди, че оплакването по член 2 е несъвместимо </w:t>
      </w:r>
      <w:proofErr w:type="spellStart"/>
      <w:r w:rsidRPr="00006A07">
        <w:rPr>
          <w:i/>
          <w:iCs/>
          <w:lang w:val="bg-BG"/>
        </w:rPr>
        <w:t>ratione</w:t>
      </w:r>
      <w:proofErr w:type="spellEnd"/>
      <w:r w:rsidRPr="00006A07">
        <w:rPr>
          <w:i/>
          <w:iCs/>
          <w:lang w:val="bg-BG"/>
        </w:rPr>
        <w:t xml:space="preserve"> </w:t>
      </w:r>
      <w:proofErr w:type="spellStart"/>
      <w:r w:rsidRPr="00006A07">
        <w:rPr>
          <w:i/>
          <w:iCs/>
          <w:lang w:val="bg-BG"/>
        </w:rPr>
        <w:t>materiae</w:t>
      </w:r>
      <w:proofErr w:type="spellEnd"/>
      <w:r w:rsidRPr="00006A07">
        <w:rPr>
          <w:lang w:val="bg-BG"/>
        </w:rPr>
        <w:t xml:space="preserve"> с разпоредби от Конвенцията, защото този член не може да се тълкува като съдържащ изискване към Държавата да предостави достъп до неразрешени за употреба лекарствени продукти. Същото важи и за оплакването по член 3 от Конвенцията. Отказът да бъде позволен на жалбоподателите достъп до експерименталния продукт </w:t>
      </w:r>
      <w:proofErr w:type="spellStart"/>
      <w:r w:rsidRPr="00006A07">
        <w:rPr>
          <w:lang w:val="bg-BG"/>
        </w:rPr>
        <w:t>MBVax</w:t>
      </w:r>
      <w:proofErr w:type="spellEnd"/>
      <w:r w:rsidRPr="00006A07">
        <w:rPr>
          <w:lang w:val="bg-BG"/>
        </w:rPr>
        <w:t xml:space="preserve"> </w:t>
      </w:r>
      <w:proofErr w:type="spellStart"/>
      <w:r w:rsidRPr="00006A07">
        <w:rPr>
          <w:lang w:val="bg-BG"/>
        </w:rPr>
        <w:t>Coley</w:t>
      </w:r>
      <w:proofErr w:type="spellEnd"/>
      <w:r w:rsidRPr="00006A07">
        <w:rPr>
          <w:lang w:val="bg-BG"/>
        </w:rPr>
        <w:t xml:space="preserve"> </w:t>
      </w:r>
      <w:proofErr w:type="spellStart"/>
      <w:r w:rsidRPr="00006A07">
        <w:rPr>
          <w:lang w:val="bg-BG"/>
        </w:rPr>
        <w:t>Fluid</w:t>
      </w:r>
      <w:proofErr w:type="spellEnd"/>
      <w:r w:rsidRPr="00006A07">
        <w:rPr>
          <w:lang w:val="bg-BG"/>
        </w:rPr>
        <w:t>, чиято безопасност и ефикасност не са били установени, не може да се разглежда като нечовешко отношение.</w:t>
      </w:r>
    </w:p>
    <w:p w:rsidR="0095532B" w:rsidRPr="00006A07" w:rsidRDefault="0095532B" w:rsidP="008D7A78">
      <w:pPr>
        <w:pStyle w:val="JuPara"/>
        <w:rPr>
          <w:lang w:val="bg-BG"/>
        </w:rPr>
      </w:pPr>
      <w:r w:rsidRPr="00006A07">
        <w:rPr>
          <w:lang w:val="bg-BG"/>
        </w:rPr>
        <w:fldChar w:fldCharType="begin"/>
      </w:r>
      <w:r w:rsidRPr="00006A07">
        <w:rPr>
          <w:lang w:val="bg-BG"/>
        </w:rPr>
        <w:instrText xml:space="preserve"> SEQ level0 \*arabic </w:instrText>
      </w:r>
      <w:r w:rsidRPr="00006A07">
        <w:rPr>
          <w:lang w:val="bg-BG"/>
        </w:rPr>
        <w:fldChar w:fldCharType="separate"/>
      </w:r>
      <w:r w:rsidRPr="00006A07">
        <w:rPr>
          <w:noProof/>
          <w:lang w:val="bg-BG"/>
        </w:rPr>
        <w:t>92</w:t>
      </w:r>
      <w:r w:rsidRPr="00006A07">
        <w:rPr>
          <w:lang w:val="bg-BG"/>
        </w:rPr>
        <w:fldChar w:fldCharType="end"/>
      </w:r>
      <w:r w:rsidRPr="00006A07">
        <w:rPr>
          <w:lang w:val="bg-BG"/>
        </w:rPr>
        <w:t>.  Жалбоподателите не представят коментари по това твърдение.</w:t>
      </w:r>
    </w:p>
    <w:p w:rsidR="0095532B" w:rsidRPr="00006A07" w:rsidRDefault="0095532B" w:rsidP="008D7A78">
      <w:pPr>
        <w:pStyle w:val="JuPara"/>
        <w:rPr>
          <w:i/>
          <w:iCs/>
          <w:lang w:val="bg-BG" w:eastAsia="en-US"/>
        </w:rPr>
      </w:pPr>
      <w:r w:rsidRPr="00006A07">
        <w:rPr>
          <w:lang w:val="bg-BG"/>
        </w:rPr>
        <w:fldChar w:fldCharType="begin"/>
      </w:r>
      <w:r w:rsidRPr="00006A07">
        <w:rPr>
          <w:lang w:val="bg-BG"/>
        </w:rPr>
        <w:instrText xml:space="preserve"> SEQ level0 \*arabic </w:instrText>
      </w:r>
      <w:r w:rsidRPr="00006A07">
        <w:rPr>
          <w:lang w:val="bg-BG"/>
        </w:rPr>
        <w:fldChar w:fldCharType="separate"/>
      </w:r>
      <w:r w:rsidRPr="00006A07">
        <w:rPr>
          <w:noProof/>
          <w:lang w:val="bg-BG"/>
        </w:rPr>
        <w:t>93</w:t>
      </w:r>
      <w:r w:rsidRPr="00006A07">
        <w:rPr>
          <w:lang w:val="bg-BG"/>
        </w:rPr>
        <w:fldChar w:fldCharType="end"/>
      </w:r>
      <w:r w:rsidRPr="00006A07">
        <w:rPr>
          <w:lang w:val="bg-BG"/>
        </w:rPr>
        <w:t xml:space="preserve">.  Съдът отбелязва, че аргументите на Правителството се отнасят до тълкуването и прилагането на членове 2 и 3 от Конвенцията и по-специално – до степента на позитивните задължения на Държавата по тези членове във връзка с предоставянето на неразрешени за употреба </w:t>
      </w:r>
      <w:r w:rsidRPr="00006A07">
        <w:rPr>
          <w:lang w:val="bg-BG"/>
        </w:rPr>
        <w:lastRenderedPageBreak/>
        <w:t xml:space="preserve">лекарствени продукти на терминално болни пациенти. Разглеждано от тази гледна точка, възражението, че оплакванията са несъвместими </w:t>
      </w:r>
      <w:proofErr w:type="spellStart"/>
      <w:r w:rsidRPr="00006A07">
        <w:rPr>
          <w:i/>
          <w:iCs/>
          <w:lang w:val="bg-BG"/>
        </w:rPr>
        <w:t>ratione</w:t>
      </w:r>
      <w:proofErr w:type="spellEnd"/>
      <w:r w:rsidRPr="00006A07">
        <w:rPr>
          <w:i/>
          <w:iCs/>
          <w:lang w:val="bg-BG"/>
        </w:rPr>
        <w:t xml:space="preserve"> </w:t>
      </w:r>
      <w:proofErr w:type="spellStart"/>
      <w:r w:rsidRPr="00006A07">
        <w:rPr>
          <w:i/>
          <w:iCs/>
          <w:lang w:val="bg-BG"/>
        </w:rPr>
        <w:t>materiae</w:t>
      </w:r>
      <w:proofErr w:type="spellEnd"/>
      <w:r w:rsidRPr="00006A07">
        <w:rPr>
          <w:lang w:val="bg-BG"/>
        </w:rPr>
        <w:t xml:space="preserve"> с разпоредбите на Конвенцията, е тясно свързано със същността на оплакванията и е разгледано по по-подходящ начин на етапа на разглеждане по същество (вж., </w:t>
      </w:r>
      <w:proofErr w:type="spellStart"/>
      <w:r w:rsidRPr="00006A07">
        <w:rPr>
          <w:i/>
          <w:iCs/>
          <w:lang w:val="bg-BG"/>
        </w:rPr>
        <w:t>mutatis</w:t>
      </w:r>
      <w:proofErr w:type="spellEnd"/>
      <w:r w:rsidRPr="00006A07">
        <w:rPr>
          <w:i/>
          <w:iCs/>
          <w:lang w:val="bg-BG"/>
        </w:rPr>
        <w:t xml:space="preserve"> </w:t>
      </w:r>
      <w:proofErr w:type="spellStart"/>
      <w:r w:rsidRPr="00006A07">
        <w:rPr>
          <w:i/>
          <w:iCs/>
          <w:lang w:val="bg-BG"/>
        </w:rPr>
        <w:t>mutandis</w:t>
      </w:r>
      <w:proofErr w:type="spellEnd"/>
      <w:r w:rsidRPr="00006A07">
        <w:rPr>
          <w:lang w:val="bg-BG"/>
        </w:rPr>
        <w:t xml:space="preserve">, </w:t>
      </w:r>
      <w:proofErr w:type="spellStart"/>
      <w:r w:rsidRPr="00006A07">
        <w:rPr>
          <w:i/>
          <w:iCs/>
          <w:lang w:val="bg-BG" w:eastAsia="en-US"/>
        </w:rPr>
        <w:t>Bozano</w:t>
      </w:r>
      <w:proofErr w:type="spellEnd"/>
      <w:r w:rsidRPr="00006A07">
        <w:rPr>
          <w:i/>
          <w:iCs/>
          <w:lang w:val="bg-BG" w:eastAsia="en-US"/>
        </w:rPr>
        <w:t xml:space="preserve"> v. </w:t>
      </w:r>
      <w:proofErr w:type="spellStart"/>
      <w:r w:rsidRPr="00006A07">
        <w:rPr>
          <w:i/>
          <w:iCs/>
          <w:lang w:val="bg-BG" w:eastAsia="en-US"/>
        </w:rPr>
        <w:t>France</w:t>
      </w:r>
      <w:proofErr w:type="spellEnd"/>
      <w:r w:rsidRPr="00006A07">
        <w:rPr>
          <w:lang w:val="bg-BG" w:eastAsia="en-US"/>
        </w:rPr>
        <w:t xml:space="preserve">, 18 декември 1986 г., § 42, </w:t>
      </w:r>
      <w:proofErr w:type="spellStart"/>
      <w:r w:rsidRPr="00006A07">
        <w:rPr>
          <w:lang w:val="bg-BG" w:eastAsia="en-US"/>
        </w:rPr>
        <w:t>Series</w:t>
      </w:r>
      <w:proofErr w:type="spellEnd"/>
      <w:r w:rsidRPr="00006A07">
        <w:rPr>
          <w:lang w:val="bg-BG" w:eastAsia="en-US"/>
        </w:rPr>
        <w:t xml:space="preserve"> A </w:t>
      </w:r>
      <w:proofErr w:type="spellStart"/>
      <w:r w:rsidRPr="00006A07">
        <w:rPr>
          <w:lang w:val="bg-BG" w:eastAsia="en-US"/>
        </w:rPr>
        <w:t>no</w:t>
      </w:r>
      <w:proofErr w:type="spellEnd"/>
      <w:r w:rsidRPr="00006A07">
        <w:rPr>
          <w:lang w:val="bg-BG" w:eastAsia="en-US"/>
        </w:rPr>
        <w:t xml:space="preserve">. 111; </w:t>
      </w:r>
      <w:proofErr w:type="spellStart"/>
      <w:r w:rsidRPr="00006A07">
        <w:rPr>
          <w:i/>
          <w:iCs/>
          <w:lang w:val="bg-BG" w:eastAsia="en-US"/>
        </w:rPr>
        <w:t>Vo</w:t>
      </w:r>
      <w:proofErr w:type="spellEnd"/>
      <w:r w:rsidRPr="00006A07">
        <w:rPr>
          <w:i/>
          <w:iCs/>
          <w:lang w:val="bg-BG" w:eastAsia="en-US"/>
        </w:rPr>
        <w:t xml:space="preserve"> v. </w:t>
      </w:r>
      <w:proofErr w:type="spellStart"/>
      <w:r w:rsidRPr="00006A07">
        <w:rPr>
          <w:i/>
          <w:iCs/>
          <w:lang w:val="bg-BG" w:eastAsia="en-US"/>
        </w:rPr>
        <w:t>France</w:t>
      </w:r>
      <w:proofErr w:type="spellEnd"/>
      <w:r w:rsidRPr="00006A07">
        <w:rPr>
          <w:i/>
          <w:iCs/>
          <w:lang w:val="bg-BG" w:eastAsia="en-US"/>
        </w:rPr>
        <w:t xml:space="preserve"> </w:t>
      </w:r>
      <w:r w:rsidRPr="00006A07">
        <w:rPr>
          <w:lang w:val="bg-BG" w:eastAsia="en-US"/>
        </w:rPr>
        <w:t xml:space="preserve">[GC], </w:t>
      </w:r>
      <w:proofErr w:type="spellStart"/>
      <w:r w:rsidRPr="00006A07">
        <w:rPr>
          <w:lang w:val="bg-BG" w:eastAsia="en-US"/>
        </w:rPr>
        <w:t>no</w:t>
      </w:r>
      <w:proofErr w:type="spellEnd"/>
      <w:r w:rsidRPr="00006A07">
        <w:rPr>
          <w:lang w:val="bg-BG" w:eastAsia="en-US"/>
        </w:rPr>
        <w:t>. 53924/00, § 44, ECHR 2004</w:t>
      </w:r>
      <w:r w:rsidRPr="00006A07">
        <w:rPr>
          <w:lang w:val="bg-BG" w:eastAsia="en-US"/>
        </w:rPr>
        <w:noBreakHyphen/>
        <w:t xml:space="preserve">VIII; </w:t>
      </w:r>
      <w:proofErr w:type="spellStart"/>
      <w:r w:rsidRPr="00006A07">
        <w:rPr>
          <w:i/>
          <w:iCs/>
          <w:lang w:val="bg-BG" w:eastAsia="en-US"/>
        </w:rPr>
        <w:t>Rantsev</w:t>
      </w:r>
      <w:proofErr w:type="spellEnd"/>
      <w:r w:rsidRPr="00006A07">
        <w:rPr>
          <w:i/>
          <w:iCs/>
          <w:lang w:val="bg-BG" w:eastAsia="en-US"/>
        </w:rPr>
        <w:t xml:space="preserve"> v. </w:t>
      </w:r>
      <w:proofErr w:type="spellStart"/>
      <w:r w:rsidRPr="00006A07">
        <w:rPr>
          <w:i/>
          <w:iCs/>
          <w:lang w:val="bg-BG" w:eastAsia="en-US"/>
        </w:rPr>
        <w:t>Cyprus</w:t>
      </w:r>
      <w:proofErr w:type="spellEnd"/>
      <w:r w:rsidRPr="00006A07">
        <w:rPr>
          <w:i/>
          <w:iCs/>
          <w:lang w:val="bg-BG" w:eastAsia="en-US"/>
        </w:rPr>
        <w:t xml:space="preserve"> </w:t>
      </w:r>
      <w:proofErr w:type="spellStart"/>
      <w:r w:rsidRPr="00006A07">
        <w:rPr>
          <w:i/>
          <w:iCs/>
          <w:lang w:val="bg-BG" w:eastAsia="en-US"/>
        </w:rPr>
        <w:t>and</w:t>
      </w:r>
      <w:proofErr w:type="spellEnd"/>
      <w:r w:rsidRPr="00006A07">
        <w:rPr>
          <w:i/>
          <w:iCs/>
          <w:lang w:val="bg-BG" w:eastAsia="en-US"/>
        </w:rPr>
        <w:t xml:space="preserve"> </w:t>
      </w:r>
      <w:proofErr w:type="spellStart"/>
      <w:r w:rsidRPr="00006A07">
        <w:rPr>
          <w:i/>
          <w:iCs/>
          <w:lang w:val="bg-BG" w:eastAsia="en-US"/>
        </w:rPr>
        <w:t>Russia</w:t>
      </w:r>
      <w:proofErr w:type="spellEnd"/>
      <w:r w:rsidRPr="00006A07">
        <w:rPr>
          <w:lang w:val="bg-BG" w:eastAsia="en-US"/>
        </w:rPr>
        <w:t xml:space="preserve">, </w:t>
      </w:r>
      <w:proofErr w:type="spellStart"/>
      <w:r w:rsidRPr="00006A07">
        <w:rPr>
          <w:lang w:val="bg-BG" w:eastAsia="en-US"/>
        </w:rPr>
        <w:t>no</w:t>
      </w:r>
      <w:proofErr w:type="spellEnd"/>
      <w:r w:rsidRPr="00006A07">
        <w:rPr>
          <w:lang w:val="bg-BG" w:eastAsia="en-US"/>
        </w:rPr>
        <w:t xml:space="preserve">. 25965/04, § 211, 7 януари 2010 г.; и </w:t>
      </w:r>
      <w:r w:rsidRPr="00006A07">
        <w:rPr>
          <w:i/>
          <w:iCs/>
          <w:lang w:val="bg-BG" w:eastAsia="en-US"/>
        </w:rPr>
        <w:t xml:space="preserve">Austin </w:t>
      </w:r>
      <w:proofErr w:type="spellStart"/>
      <w:r w:rsidRPr="00006A07">
        <w:rPr>
          <w:i/>
          <w:iCs/>
          <w:lang w:val="bg-BG" w:eastAsia="en-US"/>
        </w:rPr>
        <w:t>and</w:t>
      </w:r>
      <w:proofErr w:type="spellEnd"/>
      <w:r w:rsidRPr="00006A07">
        <w:rPr>
          <w:i/>
          <w:iCs/>
          <w:lang w:val="bg-BG" w:eastAsia="en-US"/>
        </w:rPr>
        <w:t xml:space="preserve"> </w:t>
      </w:r>
      <w:proofErr w:type="spellStart"/>
      <w:r w:rsidRPr="00006A07">
        <w:rPr>
          <w:i/>
          <w:iCs/>
          <w:lang w:val="bg-BG" w:eastAsia="en-US"/>
        </w:rPr>
        <w:t>Others</w:t>
      </w:r>
      <w:proofErr w:type="spellEnd"/>
      <w:r w:rsidRPr="00006A07">
        <w:rPr>
          <w:i/>
          <w:iCs/>
          <w:lang w:val="bg-BG" w:eastAsia="en-US"/>
        </w:rPr>
        <w:t xml:space="preserve"> v. </w:t>
      </w:r>
      <w:proofErr w:type="spellStart"/>
      <w:r w:rsidRPr="00006A07">
        <w:rPr>
          <w:i/>
          <w:iCs/>
          <w:lang w:val="bg-BG" w:eastAsia="en-US"/>
        </w:rPr>
        <w:t>the</w:t>
      </w:r>
      <w:proofErr w:type="spellEnd"/>
      <w:r w:rsidRPr="00006A07">
        <w:rPr>
          <w:i/>
          <w:iCs/>
          <w:lang w:val="bg-BG" w:eastAsia="en-US"/>
        </w:rPr>
        <w:t xml:space="preserve"> </w:t>
      </w:r>
      <w:proofErr w:type="spellStart"/>
      <w:r w:rsidRPr="00006A07">
        <w:rPr>
          <w:i/>
          <w:iCs/>
          <w:lang w:val="bg-BG" w:eastAsia="en-US"/>
        </w:rPr>
        <w:t>United</w:t>
      </w:r>
      <w:proofErr w:type="spellEnd"/>
      <w:r w:rsidRPr="00006A07">
        <w:rPr>
          <w:i/>
          <w:iCs/>
          <w:lang w:val="bg-BG" w:eastAsia="en-US"/>
        </w:rPr>
        <w:t xml:space="preserve"> </w:t>
      </w:r>
      <w:proofErr w:type="spellStart"/>
      <w:r w:rsidRPr="00006A07">
        <w:rPr>
          <w:i/>
          <w:iCs/>
          <w:lang w:val="bg-BG" w:eastAsia="en-US"/>
        </w:rPr>
        <w:t>Kingdom</w:t>
      </w:r>
      <w:proofErr w:type="spellEnd"/>
      <w:r w:rsidRPr="00006A07">
        <w:rPr>
          <w:lang w:val="bg-BG" w:eastAsia="en-US"/>
        </w:rPr>
        <w:t xml:space="preserve"> [GC], </w:t>
      </w:r>
      <w:proofErr w:type="spellStart"/>
      <w:r w:rsidRPr="00006A07">
        <w:rPr>
          <w:lang w:val="bg-BG" w:eastAsia="en-US"/>
        </w:rPr>
        <w:t>nos</w:t>
      </w:r>
      <w:proofErr w:type="spellEnd"/>
      <w:r w:rsidRPr="00006A07">
        <w:rPr>
          <w:lang w:val="bg-BG" w:eastAsia="en-US"/>
        </w:rPr>
        <w:t>. 39692/09, 40713/09 и 41008/09</w:t>
      </w:r>
      <w:r w:rsidRPr="00006A07">
        <w:rPr>
          <w:snapToGrid w:val="0"/>
          <w:lang w:val="bg-BG" w:eastAsia="en-US"/>
        </w:rPr>
        <w:t>, § 50, 15 март 2012 г.).</w:t>
      </w:r>
    </w:p>
    <w:p w:rsidR="0095532B" w:rsidRPr="00006A07" w:rsidRDefault="0095532B" w:rsidP="008D7A78">
      <w:pPr>
        <w:pStyle w:val="JuHA"/>
        <w:rPr>
          <w:lang w:val="bg-BG"/>
        </w:rPr>
      </w:pPr>
      <w:r w:rsidRPr="00006A07">
        <w:rPr>
          <w:lang w:val="bg-BG"/>
        </w:rPr>
        <w:t>Г.  Заключенията на Съда относно допустимостта на оплакванията</w:t>
      </w:r>
    </w:p>
    <w:p w:rsidR="0095532B" w:rsidRPr="00006A07" w:rsidRDefault="0095532B" w:rsidP="008D7A78">
      <w:pPr>
        <w:pStyle w:val="JuPara"/>
        <w:rPr>
          <w:lang w:val="bg-BG"/>
        </w:rPr>
      </w:pPr>
      <w:r w:rsidRPr="00006A07">
        <w:rPr>
          <w:lang w:val="bg-BG"/>
        </w:rPr>
        <w:fldChar w:fldCharType="begin"/>
      </w:r>
      <w:r w:rsidRPr="00006A07">
        <w:rPr>
          <w:lang w:val="bg-BG"/>
        </w:rPr>
        <w:instrText xml:space="preserve"> SEQ level0 \*arabic </w:instrText>
      </w:r>
      <w:r w:rsidRPr="00006A07">
        <w:rPr>
          <w:lang w:val="bg-BG"/>
        </w:rPr>
        <w:fldChar w:fldCharType="separate"/>
      </w:r>
      <w:r w:rsidRPr="00006A07">
        <w:rPr>
          <w:noProof/>
          <w:lang w:val="bg-BG"/>
        </w:rPr>
        <w:t>94</w:t>
      </w:r>
      <w:r w:rsidRPr="00006A07">
        <w:rPr>
          <w:lang w:val="bg-BG"/>
        </w:rPr>
        <w:fldChar w:fldCharType="end"/>
      </w:r>
      <w:r w:rsidRPr="00006A07">
        <w:rPr>
          <w:lang w:val="bg-BG"/>
        </w:rPr>
        <w:t>.  Съдът счита също така, че тези оплаквания не са очевидно необосновани по смисъла на член 35 § 3 (a) от Конвенцията. Не е установена друга причина за обявяването им за недопустими. Поради това те трябва да бъдат обявени за допустими.</w:t>
      </w:r>
    </w:p>
    <w:p w:rsidR="0095532B" w:rsidRPr="00006A07" w:rsidRDefault="0095532B" w:rsidP="008D7A78">
      <w:pPr>
        <w:pStyle w:val="JuHIRoman"/>
        <w:rPr>
          <w:lang w:val="bg-BG"/>
        </w:rPr>
      </w:pPr>
      <w:r w:rsidRPr="00006A07">
        <w:rPr>
          <w:lang w:val="bg-BG"/>
        </w:rPr>
        <w:t>III.  ПО СЪЩЕСТВОТО НА ОПЛАКВАНИЯТА ПО ЧЛЕНОВЕ 2, 3 И 8 ОТ КОНВЕНЦИЯТА</w:t>
      </w:r>
    </w:p>
    <w:p w:rsidR="0095532B" w:rsidRPr="00006A07" w:rsidRDefault="0095532B" w:rsidP="008D7A78">
      <w:pPr>
        <w:pStyle w:val="JuPara"/>
        <w:rPr>
          <w:lang w:val="bg-BG"/>
        </w:rPr>
      </w:pPr>
      <w:r w:rsidRPr="00006A07">
        <w:rPr>
          <w:lang w:val="bg-BG"/>
        </w:rPr>
        <w:fldChar w:fldCharType="begin"/>
      </w:r>
      <w:r w:rsidRPr="00006A07">
        <w:rPr>
          <w:lang w:val="bg-BG"/>
        </w:rPr>
        <w:instrText xml:space="preserve"> SEQ level0 \*arabic </w:instrText>
      </w:r>
      <w:r w:rsidRPr="00006A07">
        <w:rPr>
          <w:lang w:val="bg-BG"/>
        </w:rPr>
        <w:fldChar w:fldCharType="separate"/>
      </w:r>
      <w:r w:rsidRPr="00006A07">
        <w:rPr>
          <w:noProof/>
          <w:lang w:val="bg-BG"/>
        </w:rPr>
        <w:t>95</w:t>
      </w:r>
      <w:r w:rsidRPr="00006A07">
        <w:rPr>
          <w:lang w:val="bg-BG"/>
        </w:rPr>
        <w:fldChar w:fldCharType="end"/>
      </w:r>
      <w:r w:rsidRPr="00006A07">
        <w:rPr>
          <w:lang w:val="bg-BG"/>
        </w:rPr>
        <w:t>.  Жалбоподателите предявяват оплаквания по член 2 § 1 от Конвенцията, че съгласно българското право физически лица в терминалната фаза на болест, които са изчерпали без успех всички конвенционални методи за лечение, не могат по изключение да получат разрешение да използват неразрешени за употреба лекарствени продукти. Освен това те предявяват оплаквания за твърдени непоследователни и бавни действия на властите във връзка с техните искания за получаване на такова разрешение, като твърдят, че това е било така поради лисата на ясни правила в тази област.</w:t>
      </w:r>
    </w:p>
    <w:p w:rsidR="0095532B" w:rsidRPr="00006A07" w:rsidRDefault="0095532B" w:rsidP="008D7A78">
      <w:pPr>
        <w:pStyle w:val="JuPara"/>
        <w:rPr>
          <w:lang w:val="bg-BG"/>
        </w:rPr>
      </w:pPr>
      <w:r w:rsidRPr="00006A07">
        <w:rPr>
          <w:lang w:val="bg-BG"/>
        </w:rPr>
        <w:fldChar w:fldCharType="begin"/>
      </w:r>
      <w:r w:rsidRPr="00006A07">
        <w:rPr>
          <w:lang w:val="bg-BG"/>
        </w:rPr>
        <w:instrText xml:space="preserve"> SEQ level0 \*arabic </w:instrText>
      </w:r>
      <w:r w:rsidRPr="00006A07">
        <w:rPr>
          <w:lang w:val="bg-BG"/>
        </w:rPr>
        <w:fldChar w:fldCharType="separate"/>
      </w:r>
      <w:r w:rsidRPr="00006A07">
        <w:rPr>
          <w:noProof/>
          <w:lang w:val="bg-BG"/>
        </w:rPr>
        <w:t>96</w:t>
      </w:r>
      <w:r w:rsidRPr="00006A07">
        <w:rPr>
          <w:lang w:val="bg-BG"/>
        </w:rPr>
        <w:fldChar w:fldCharType="end"/>
      </w:r>
      <w:r w:rsidRPr="00006A07">
        <w:rPr>
          <w:lang w:val="bg-BG"/>
        </w:rPr>
        <w:t>.  Жалбоподателите предявяват и оплаквания по член 3 от Конвенцията, че чрез възпрепятстването на достъпа до експерименталния лекарствен продукт, който те са искали да използват, властите са ги подложили на нечовешко и унизително отношение.</w:t>
      </w:r>
    </w:p>
    <w:p w:rsidR="0095532B" w:rsidRPr="00006A07" w:rsidRDefault="0095532B" w:rsidP="008D7A78">
      <w:pPr>
        <w:pStyle w:val="JuPara"/>
        <w:rPr>
          <w:lang w:val="bg-BG"/>
        </w:rPr>
      </w:pPr>
      <w:r w:rsidRPr="00006A07">
        <w:rPr>
          <w:lang w:val="bg-BG"/>
        </w:rPr>
        <w:fldChar w:fldCharType="begin"/>
      </w:r>
      <w:r w:rsidRPr="00006A07">
        <w:rPr>
          <w:lang w:val="bg-BG"/>
        </w:rPr>
        <w:instrText xml:space="preserve"> SEQ level0 \*arabic </w:instrText>
      </w:r>
      <w:r w:rsidRPr="00006A07">
        <w:rPr>
          <w:lang w:val="bg-BG"/>
        </w:rPr>
        <w:fldChar w:fldCharType="separate"/>
      </w:r>
      <w:r w:rsidRPr="00006A07">
        <w:rPr>
          <w:noProof/>
          <w:lang w:val="bg-BG"/>
        </w:rPr>
        <w:t>97</w:t>
      </w:r>
      <w:r w:rsidRPr="00006A07">
        <w:rPr>
          <w:lang w:val="bg-BG"/>
        </w:rPr>
        <w:fldChar w:fldCharType="end"/>
      </w:r>
      <w:r w:rsidRPr="00006A07">
        <w:rPr>
          <w:lang w:val="bg-BG"/>
        </w:rPr>
        <w:t>.  На последно място, те предявяват оплаквания по член 8 от Конвенцията, че отказът на властите да им позволят да използват продукта е бил неоправдана намеса в правото им на зачитане на техния личен и семеен живот.</w:t>
      </w:r>
    </w:p>
    <w:p w:rsidR="0095532B" w:rsidRPr="00006A07" w:rsidRDefault="0095532B" w:rsidP="008D7A78">
      <w:pPr>
        <w:pStyle w:val="JuPara"/>
        <w:rPr>
          <w:lang w:val="bg-BG"/>
        </w:rPr>
      </w:pPr>
      <w:r w:rsidRPr="00006A07">
        <w:rPr>
          <w:lang w:val="bg-BG"/>
        </w:rPr>
        <w:fldChar w:fldCharType="begin"/>
      </w:r>
      <w:r w:rsidRPr="00006A07">
        <w:rPr>
          <w:lang w:val="bg-BG"/>
        </w:rPr>
        <w:instrText xml:space="preserve"> SEQ level0 \*arabic </w:instrText>
      </w:r>
      <w:r w:rsidRPr="00006A07">
        <w:rPr>
          <w:lang w:val="bg-BG"/>
        </w:rPr>
        <w:fldChar w:fldCharType="separate"/>
      </w:r>
      <w:r w:rsidRPr="00006A07">
        <w:rPr>
          <w:noProof/>
          <w:lang w:val="bg-BG"/>
        </w:rPr>
        <w:t>98</w:t>
      </w:r>
      <w:r w:rsidRPr="00006A07">
        <w:rPr>
          <w:lang w:val="bg-BG"/>
        </w:rPr>
        <w:fldChar w:fldCharType="end"/>
      </w:r>
      <w:r w:rsidRPr="00006A07">
        <w:rPr>
          <w:lang w:val="bg-BG"/>
        </w:rPr>
        <w:t xml:space="preserve">.  Членове 2, 3 и 8 от Конвенцията предвиждат, доколкото е </w:t>
      </w:r>
      <w:proofErr w:type="spellStart"/>
      <w:r w:rsidRPr="00006A07">
        <w:rPr>
          <w:lang w:val="bg-BG"/>
        </w:rPr>
        <w:t>относимо</w:t>
      </w:r>
      <w:proofErr w:type="spellEnd"/>
      <w:r w:rsidRPr="00006A07">
        <w:rPr>
          <w:lang w:val="bg-BG"/>
        </w:rPr>
        <w:t xml:space="preserve"> към случая:</w:t>
      </w:r>
    </w:p>
    <w:p w:rsidR="0095532B" w:rsidRPr="00006A07" w:rsidRDefault="0095532B" w:rsidP="008D7A78">
      <w:pPr>
        <w:pStyle w:val="JuHArticle"/>
        <w:outlineLvl w:val="9"/>
        <w:rPr>
          <w:lang w:val="bg-BG"/>
        </w:rPr>
      </w:pPr>
      <w:r w:rsidRPr="00006A07">
        <w:rPr>
          <w:lang w:val="bg-BG"/>
        </w:rPr>
        <w:lastRenderedPageBreak/>
        <w:t>Член 2 (право на живот)</w:t>
      </w:r>
    </w:p>
    <w:p w:rsidR="0095532B" w:rsidRPr="00006A07" w:rsidRDefault="0095532B" w:rsidP="008D7A78">
      <w:pPr>
        <w:pStyle w:val="JuQuot"/>
        <w:rPr>
          <w:lang w:val="bg-BG"/>
        </w:rPr>
      </w:pPr>
      <w:r w:rsidRPr="00006A07">
        <w:rPr>
          <w:lang w:val="bg-BG"/>
        </w:rPr>
        <w:t>„1. Правото на живот на всеки се защитава от закона. ...“</w:t>
      </w:r>
    </w:p>
    <w:p w:rsidR="0095532B" w:rsidRPr="00006A07" w:rsidRDefault="0095532B" w:rsidP="008D7A78">
      <w:pPr>
        <w:pStyle w:val="JuHArticle"/>
        <w:outlineLvl w:val="9"/>
        <w:rPr>
          <w:lang w:val="bg-BG"/>
        </w:rPr>
      </w:pPr>
      <w:r w:rsidRPr="00006A07">
        <w:rPr>
          <w:lang w:val="bg-BG"/>
        </w:rPr>
        <w:t>Член 3 (забрана на изтезанията)</w:t>
      </w:r>
    </w:p>
    <w:p w:rsidR="0095532B" w:rsidRPr="00006A07" w:rsidRDefault="0095532B" w:rsidP="008D7A78">
      <w:pPr>
        <w:pStyle w:val="JuQuot"/>
        <w:rPr>
          <w:lang w:val="bg-BG"/>
        </w:rPr>
      </w:pPr>
      <w:r w:rsidRPr="00006A07">
        <w:rPr>
          <w:lang w:val="bg-BG"/>
        </w:rPr>
        <w:t>„Никой не може да бъде подложен на изтезания или нечовешко или унизително отношение или наказание.“</w:t>
      </w:r>
    </w:p>
    <w:p w:rsidR="0095532B" w:rsidRPr="00006A07" w:rsidRDefault="0095532B" w:rsidP="008D7A78">
      <w:pPr>
        <w:pStyle w:val="JuHArticle"/>
        <w:outlineLvl w:val="9"/>
        <w:rPr>
          <w:lang w:val="bg-BG"/>
        </w:rPr>
      </w:pPr>
      <w:r w:rsidRPr="00006A07">
        <w:rPr>
          <w:lang w:val="bg-BG"/>
        </w:rPr>
        <w:t>Член 8 (право на зачитане на личния и семейния живот)</w:t>
      </w:r>
    </w:p>
    <w:p w:rsidR="0095532B" w:rsidRPr="00006A07" w:rsidRDefault="0095532B" w:rsidP="008D7A78">
      <w:pPr>
        <w:pStyle w:val="JuQuot"/>
        <w:keepNext/>
        <w:rPr>
          <w:lang w:val="bg-BG"/>
        </w:rPr>
      </w:pPr>
      <w:r w:rsidRPr="00006A07">
        <w:rPr>
          <w:lang w:val="bg-BG"/>
        </w:rPr>
        <w:t>„1.  Всеки има право на неприкосновеност на личния и семейния си живот...</w:t>
      </w:r>
    </w:p>
    <w:p w:rsidR="0095532B" w:rsidRPr="00006A07" w:rsidRDefault="0095532B" w:rsidP="008D7A78">
      <w:pPr>
        <w:pStyle w:val="JuQuot"/>
        <w:rPr>
          <w:lang w:val="bg-BG"/>
        </w:rPr>
      </w:pPr>
      <w:r w:rsidRPr="00006A07">
        <w:rPr>
          <w:lang w:val="bg-BG"/>
        </w:rPr>
        <w:t>2.  Намесата на държавните власти в упражняването на това право е недопустима, освен в случаите, предвидени в закона и необходими в едно демократично общество в интерес на националната и обществената сигурност или на икономическото благосъстояние на страната, за предотвратяване на безредици или престъпления, за защита на здравето и морала или на правата и свободите на другите.“</w:t>
      </w:r>
    </w:p>
    <w:p w:rsidR="0095532B" w:rsidRPr="00006A07" w:rsidRDefault="0095532B" w:rsidP="008D7A78">
      <w:pPr>
        <w:pStyle w:val="JuHA"/>
        <w:rPr>
          <w:lang w:val="bg-BG"/>
        </w:rPr>
      </w:pPr>
      <w:r w:rsidRPr="00006A07">
        <w:rPr>
          <w:lang w:val="bg-BG"/>
        </w:rPr>
        <w:t>A.  Доводите на страните</w:t>
      </w:r>
    </w:p>
    <w:p w:rsidR="0095532B" w:rsidRPr="00006A07" w:rsidRDefault="0095532B" w:rsidP="008D7A78">
      <w:pPr>
        <w:pStyle w:val="JuH1"/>
        <w:rPr>
          <w:lang w:val="bg-BG"/>
        </w:rPr>
      </w:pPr>
      <w:r w:rsidRPr="00006A07">
        <w:rPr>
          <w:lang w:val="bg-BG"/>
        </w:rPr>
        <w:t>1.  Относно член 2 от Конвенцията</w:t>
      </w:r>
    </w:p>
    <w:p w:rsidR="0095532B" w:rsidRPr="00006A07" w:rsidRDefault="0095532B" w:rsidP="008D7A78">
      <w:pPr>
        <w:pStyle w:val="JuPara"/>
        <w:rPr>
          <w:lang w:val="bg-BG"/>
        </w:rPr>
      </w:pPr>
      <w:r w:rsidRPr="00006A07">
        <w:rPr>
          <w:lang w:val="bg-BG"/>
        </w:rPr>
        <w:fldChar w:fldCharType="begin"/>
      </w:r>
      <w:r w:rsidRPr="00006A07">
        <w:rPr>
          <w:lang w:val="bg-BG"/>
        </w:rPr>
        <w:instrText xml:space="preserve"> SEQ level0 \*arabic </w:instrText>
      </w:r>
      <w:r w:rsidRPr="00006A07">
        <w:rPr>
          <w:lang w:val="bg-BG"/>
        </w:rPr>
        <w:fldChar w:fldCharType="separate"/>
      </w:r>
      <w:r w:rsidRPr="00006A07">
        <w:rPr>
          <w:noProof/>
          <w:lang w:val="bg-BG"/>
        </w:rPr>
        <w:t>99</w:t>
      </w:r>
      <w:r w:rsidRPr="00006A07">
        <w:rPr>
          <w:lang w:val="bg-BG"/>
        </w:rPr>
        <w:fldChar w:fldCharType="end"/>
      </w:r>
      <w:r w:rsidRPr="00006A07">
        <w:rPr>
          <w:lang w:val="bg-BG"/>
        </w:rPr>
        <w:t>.  Правителството отбелязва, че в българското право е създадена разпоредба за „</w:t>
      </w:r>
      <w:proofErr w:type="spellStart"/>
      <w:r w:rsidRPr="00006A07">
        <w:rPr>
          <w:lang w:val="bg-BG"/>
        </w:rPr>
        <w:t>палиативната</w:t>
      </w:r>
      <w:proofErr w:type="spellEnd"/>
      <w:r w:rsidRPr="00006A07">
        <w:rPr>
          <w:lang w:val="bg-BG"/>
        </w:rPr>
        <w:t xml:space="preserve"> употреба“ на неразрешени лекарствени продукти. Въпреки това то подчертава, че такива продукти носят сериозни рискове, което изисква те да бъдат внимателно нормативно уредени. Държавата е </w:t>
      </w:r>
      <w:proofErr w:type="spellStart"/>
      <w:r w:rsidRPr="00006A07">
        <w:rPr>
          <w:lang w:val="bg-BG"/>
        </w:rPr>
        <w:t>оправомощена</w:t>
      </w:r>
      <w:proofErr w:type="spellEnd"/>
      <w:r w:rsidRPr="00006A07">
        <w:rPr>
          <w:lang w:val="bg-BG"/>
        </w:rPr>
        <w:t xml:space="preserve"> да откаже разрешение за употребата на неразрешен за употреба лекарствен продукт и това не съставлява нарушение на правото на живот, а гаранция за него. Позитивните задължения по член 2 от Конвенцията имат ограничения и не могат да надхвърлят това, което се счита за разумно. На жалбоподателите е било предоставено конвенционално медицинско лечение. Не съществува допълнително задължение да им бъде позволено да използват продукт, който не е разрешен за употреба в нито една държава членка на Европейския съюз, нито е обект на клинично изпитване. Една държава не може да бъде задължена да предостави на разположение всички възможни лекарства, още по-малко продукти с неясно съдържание и произход, които не са разрешени за употреба в развитите страни с големи възможности в здравеопазването. Въпросният продукт не отговаря на изискванията за „</w:t>
      </w:r>
      <w:proofErr w:type="spellStart"/>
      <w:r w:rsidRPr="00006A07">
        <w:rPr>
          <w:lang w:val="bg-BG"/>
        </w:rPr>
        <w:t>палиативна</w:t>
      </w:r>
      <w:proofErr w:type="spellEnd"/>
      <w:r w:rsidRPr="00006A07">
        <w:rPr>
          <w:lang w:val="bg-BG"/>
        </w:rPr>
        <w:t xml:space="preserve"> употреба“ съгласно член 83 от Регламент (EО) № 726/2004. Ако производителят му отговоря на приложимите изисквания, държавните органи могат да предвидят разрешаването на употребата му за в бъдеще. В този смисъл  жалбоподателите не са били оставени без никаква надежда. </w:t>
      </w:r>
    </w:p>
    <w:p w:rsidR="0095532B" w:rsidRPr="00006A07" w:rsidRDefault="0095532B" w:rsidP="008D7A78">
      <w:pPr>
        <w:pStyle w:val="JuPara"/>
        <w:rPr>
          <w:lang w:val="bg-BG"/>
        </w:rPr>
      </w:pPr>
      <w:r w:rsidRPr="00006A07">
        <w:rPr>
          <w:lang w:val="bg-BG"/>
        </w:rPr>
        <w:fldChar w:fldCharType="begin"/>
      </w:r>
      <w:r w:rsidRPr="00006A07">
        <w:rPr>
          <w:lang w:val="bg-BG"/>
        </w:rPr>
        <w:instrText xml:space="preserve"> SEQ level0 \*arabic </w:instrText>
      </w:r>
      <w:r w:rsidRPr="00006A07">
        <w:rPr>
          <w:lang w:val="bg-BG"/>
        </w:rPr>
        <w:fldChar w:fldCharType="separate"/>
      </w:r>
      <w:r w:rsidRPr="00006A07">
        <w:rPr>
          <w:noProof/>
          <w:lang w:val="bg-BG"/>
        </w:rPr>
        <w:t>100</w:t>
      </w:r>
      <w:r w:rsidRPr="00006A07">
        <w:rPr>
          <w:lang w:val="bg-BG"/>
        </w:rPr>
        <w:fldChar w:fldCharType="end"/>
      </w:r>
      <w:r w:rsidRPr="00006A07">
        <w:rPr>
          <w:lang w:val="bg-BG"/>
        </w:rPr>
        <w:t xml:space="preserve">.  Жалбоподателите посочват, че отказът да им бъде разрешено използването на продукта е в нарушение на правото им на живот. Те </w:t>
      </w:r>
      <w:r w:rsidRPr="00006A07">
        <w:rPr>
          <w:lang w:val="bg-BG"/>
        </w:rPr>
        <w:lastRenderedPageBreak/>
        <w:t>подчертават приликите и разликите между тяхното дело и предишните дела, при които Съдът е разглеждал оплаквания по член 2 от Конвенцията във връзка със сферата на здравеопазването. Те твърдят, че, правилно формулиран, въпросът в техния случай е дали Държавата е предприела подходящи действия за запазването на живота на хората под нейната юрисдикция. Според жалбоподателите Държавата не го е направила, тъй като правилата, уреждащи „</w:t>
      </w:r>
      <w:proofErr w:type="spellStart"/>
      <w:r w:rsidRPr="00006A07">
        <w:rPr>
          <w:lang w:val="bg-BG"/>
        </w:rPr>
        <w:t>палиативната</w:t>
      </w:r>
      <w:proofErr w:type="spellEnd"/>
      <w:r w:rsidRPr="00006A07">
        <w:rPr>
          <w:lang w:val="bg-BG"/>
        </w:rPr>
        <w:t xml:space="preserve"> употреба“, не са адекватни, тъй като не позволяват на държавните органи да вземат предвид специфични обстоятелства. На всички лица в България, които, подобно на жалбоподателите, са в терминалната фаза на рак и вече не се повлияват от конвенционалното лечение, се отказва достъп до експериментални лекарствени продукти. В случая на жалбоподателите, това не е било обосновано от недостатъчни бюджетни ресурси, тъй като дружеството, което е разработвало продукта, е било готово да го предостави безплатно. Има е индикации, че състоянието на някои болни от рак пациенти се е подобрило в резултат от употребата му. Това е дало на жалбоподателите надежда, че този лекарствен продукт би могъл да помогне и на тях.</w:t>
      </w:r>
    </w:p>
    <w:p w:rsidR="0095532B" w:rsidRPr="00006A07" w:rsidRDefault="0095532B" w:rsidP="008D7A78">
      <w:pPr>
        <w:pStyle w:val="JuH1"/>
        <w:rPr>
          <w:lang w:val="bg-BG"/>
        </w:rPr>
      </w:pPr>
      <w:r w:rsidRPr="00006A07">
        <w:rPr>
          <w:lang w:val="bg-BG"/>
        </w:rPr>
        <w:t>2.  Относно член 3 от Конвенцията</w:t>
      </w:r>
    </w:p>
    <w:p w:rsidR="0095532B" w:rsidRPr="00006A07" w:rsidRDefault="0095532B" w:rsidP="008D7A78">
      <w:pPr>
        <w:pStyle w:val="JuPara"/>
        <w:rPr>
          <w:lang w:val="bg-BG"/>
        </w:rPr>
      </w:pPr>
      <w:r w:rsidRPr="00006A07">
        <w:rPr>
          <w:lang w:val="bg-BG"/>
        </w:rPr>
        <w:fldChar w:fldCharType="begin"/>
      </w:r>
      <w:r w:rsidRPr="00006A07">
        <w:rPr>
          <w:lang w:val="bg-BG"/>
        </w:rPr>
        <w:instrText xml:space="preserve"> SEQ level0 \*arabic </w:instrText>
      </w:r>
      <w:r w:rsidRPr="00006A07">
        <w:rPr>
          <w:lang w:val="bg-BG"/>
        </w:rPr>
        <w:fldChar w:fldCharType="separate"/>
      </w:r>
      <w:r w:rsidRPr="00006A07">
        <w:rPr>
          <w:noProof/>
          <w:lang w:val="bg-BG"/>
        </w:rPr>
        <w:t>101</w:t>
      </w:r>
      <w:r w:rsidRPr="00006A07">
        <w:rPr>
          <w:lang w:val="bg-BG"/>
        </w:rPr>
        <w:fldChar w:fldCharType="end"/>
      </w:r>
      <w:r w:rsidRPr="00006A07">
        <w:rPr>
          <w:lang w:val="bg-BG"/>
        </w:rPr>
        <w:t>.  Правителството обръща внимание върху минималния праг, при достигането на който се привежда в действие член 3 от Конвенцията, който според Правителството не е бил достигнат, както и върху ограничената степен на позитивните задължения на Държавата по този член. Правителството посочва, че не е имало намерение да отказва на жалбоподателите достъп до безопасни лекарствени продукти. Експерименталният продукт, който те са искали да използват, не е бил разрешен за употреба в нито една държава и не е бил преминал клинични изпитвания. Неговата безопасност и ефикасност не са били установени. Поради това невъзможността да се използва не би могла да се разглежда като нечовешко отношение. Напротив, неговата употреба, която би съставлявала медицински експеримент, би могла да доведе до нарушение на член 3.</w:t>
      </w:r>
    </w:p>
    <w:p w:rsidR="0095532B" w:rsidRPr="00006A07" w:rsidRDefault="0095532B" w:rsidP="008D7A78">
      <w:pPr>
        <w:pStyle w:val="JuPara"/>
        <w:rPr>
          <w:lang w:val="bg-BG"/>
        </w:rPr>
      </w:pPr>
      <w:r w:rsidRPr="00006A07">
        <w:rPr>
          <w:lang w:val="bg-BG"/>
        </w:rPr>
        <w:fldChar w:fldCharType="begin"/>
      </w:r>
      <w:r w:rsidRPr="00006A07">
        <w:rPr>
          <w:lang w:val="bg-BG"/>
        </w:rPr>
        <w:instrText xml:space="preserve"> SEQ level0 \*arabic </w:instrText>
      </w:r>
      <w:r w:rsidRPr="00006A07">
        <w:rPr>
          <w:lang w:val="bg-BG"/>
        </w:rPr>
        <w:fldChar w:fldCharType="separate"/>
      </w:r>
      <w:r w:rsidRPr="00006A07">
        <w:rPr>
          <w:noProof/>
          <w:lang w:val="bg-BG"/>
        </w:rPr>
        <w:t>102</w:t>
      </w:r>
      <w:r w:rsidRPr="00006A07">
        <w:rPr>
          <w:lang w:val="bg-BG"/>
        </w:rPr>
        <w:fldChar w:fldCharType="end"/>
      </w:r>
      <w:r w:rsidRPr="00006A07">
        <w:rPr>
          <w:lang w:val="bg-BG"/>
        </w:rPr>
        <w:t xml:space="preserve">.  Жалбоподателите посочват, че са били принудени да чакат смъртта си, въпреки че са знаели за съществуването на експериментален продукт, който би могъл да подобри състоянието им и да удължи живота им. Тези от тях, които са починали, е трябвало да претърпят болки и страдания преди смъртта си, като същевременно са знаели, че използването на продукта в други държави в някои случаи е довело дори до пълна </w:t>
      </w:r>
      <w:proofErr w:type="spellStart"/>
      <w:r w:rsidRPr="00006A07">
        <w:rPr>
          <w:lang w:val="bg-BG"/>
        </w:rPr>
        <w:t>ремисия</w:t>
      </w:r>
      <w:proofErr w:type="spellEnd"/>
      <w:r w:rsidRPr="00006A07">
        <w:rPr>
          <w:lang w:val="bg-BG"/>
        </w:rPr>
        <w:t xml:space="preserve"> на болестта.</w:t>
      </w:r>
    </w:p>
    <w:p w:rsidR="0095532B" w:rsidRPr="00006A07" w:rsidRDefault="0095532B" w:rsidP="008D7A78">
      <w:pPr>
        <w:pStyle w:val="JuH1"/>
        <w:rPr>
          <w:lang w:val="bg-BG"/>
        </w:rPr>
      </w:pPr>
      <w:r w:rsidRPr="00006A07">
        <w:rPr>
          <w:lang w:val="bg-BG"/>
        </w:rPr>
        <w:lastRenderedPageBreak/>
        <w:t>3.  Относно член 8 от Конвенцията</w:t>
      </w:r>
    </w:p>
    <w:p w:rsidR="0095532B" w:rsidRPr="00006A07" w:rsidRDefault="0095532B" w:rsidP="008D7A78">
      <w:pPr>
        <w:pStyle w:val="JuPara"/>
        <w:rPr>
          <w:lang w:val="bg-BG"/>
        </w:rPr>
      </w:pPr>
      <w:r w:rsidRPr="00006A07">
        <w:rPr>
          <w:lang w:val="bg-BG"/>
        </w:rPr>
        <w:fldChar w:fldCharType="begin"/>
      </w:r>
      <w:r w:rsidRPr="00006A07">
        <w:rPr>
          <w:lang w:val="bg-BG"/>
        </w:rPr>
        <w:instrText xml:space="preserve"> SEQ level0 \*arabic </w:instrText>
      </w:r>
      <w:r w:rsidRPr="00006A07">
        <w:rPr>
          <w:lang w:val="bg-BG"/>
        </w:rPr>
        <w:fldChar w:fldCharType="separate"/>
      </w:r>
      <w:r w:rsidRPr="00006A07">
        <w:rPr>
          <w:noProof/>
          <w:lang w:val="bg-BG"/>
        </w:rPr>
        <w:t>103</w:t>
      </w:r>
      <w:r w:rsidRPr="00006A07">
        <w:rPr>
          <w:lang w:val="bg-BG"/>
        </w:rPr>
        <w:fldChar w:fldCharType="end"/>
      </w:r>
      <w:r w:rsidRPr="00006A07">
        <w:rPr>
          <w:lang w:val="bg-BG"/>
        </w:rPr>
        <w:t xml:space="preserve">.  Правителството посочва, че всяка намеса в правата на жалбоподателите по член 8 от Конвенцията е била законосъобразна и необходима. Отказите да им бъде позволено да използват експерименталния продукт са били обосновани, направени от независим орган и основани на правни разпоредби, които са изцяло в съответствие с правото на Европейския съюз. Следователно може да се обобщи, че те са в съответствие с Конвенцията. Тези разпоредби, които вземат предвид нуждата да се балансира общественият интерес и личната автономия, имат за цел да защитят здравето и живота на засегнатите лица чрез предотвратяването на злоупотреби и рискове, съпровождащи употребата на неизпитани продукти. За тази цел те предвиждат определени условия, които в случаите на жалбоподателите не са били изпълнени. Тази регулаторна уредба не би могла да бъде описана като </w:t>
      </w:r>
      <w:proofErr w:type="spellStart"/>
      <w:r w:rsidRPr="00006A07">
        <w:rPr>
          <w:lang w:val="bg-BG"/>
        </w:rPr>
        <w:t>бланкетна</w:t>
      </w:r>
      <w:proofErr w:type="spellEnd"/>
      <w:r w:rsidRPr="00006A07">
        <w:rPr>
          <w:lang w:val="bg-BG"/>
        </w:rPr>
        <w:t xml:space="preserve"> забрана на „</w:t>
      </w:r>
      <w:proofErr w:type="spellStart"/>
      <w:r w:rsidRPr="00006A07">
        <w:rPr>
          <w:lang w:val="bg-BG"/>
        </w:rPr>
        <w:t>палиативна</w:t>
      </w:r>
      <w:proofErr w:type="spellEnd"/>
      <w:r w:rsidRPr="00006A07">
        <w:rPr>
          <w:lang w:val="bg-BG"/>
        </w:rPr>
        <w:t xml:space="preserve"> употреба“ на неразрешени за употреба лекарствени продукти.</w:t>
      </w:r>
    </w:p>
    <w:p w:rsidR="0095532B" w:rsidRPr="00006A07" w:rsidRDefault="0095532B" w:rsidP="008D7A78">
      <w:pPr>
        <w:pStyle w:val="JuPara"/>
        <w:rPr>
          <w:lang w:val="bg-BG"/>
        </w:rPr>
      </w:pPr>
      <w:r w:rsidRPr="00006A07">
        <w:rPr>
          <w:lang w:val="bg-BG"/>
        </w:rPr>
        <w:fldChar w:fldCharType="begin"/>
      </w:r>
      <w:r w:rsidRPr="00006A07">
        <w:rPr>
          <w:lang w:val="bg-BG"/>
        </w:rPr>
        <w:instrText xml:space="preserve"> SEQ level0 \*arabic </w:instrText>
      </w:r>
      <w:r w:rsidRPr="00006A07">
        <w:rPr>
          <w:lang w:val="bg-BG"/>
        </w:rPr>
        <w:fldChar w:fldCharType="separate"/>
      </w:r>
      <w:r w:rsidRPr="00006A07">
        <w:rPr>
          <w:noProof/>
          <w:lang w:val="bg-BG"/>
        </w:rPr>
        <w:t>104</w:t>
      </w:r>
      <w:r w:rsidRPr="00006A07">
        <w:rPr>
          <w:lang w:val="bg-BG"/>
        </w:rPr>
        <w:fldChar w:fldCharType="end"/>
      </w:r>
      <w:r w:rsidRPr="00006A07">
        <w:rPr>
          <w:lang w:val="bg-BG"/>
        </w:rPr>
        <w:t xml:space="preserve">.  Жалбоподателите подчертават приликите и разликите между тяхното дело и предишни дела, при които Съдът е разглеждал подобни въпроси по член 8 от Конвенцията. Те посочват, че не са се опитвали да извлекат от тази разпоредба право да умрат, а напротив – право да опитат да удължат живота си и да избегнат смъртта. Отказите да бъде разрешен достъп до експериментален лекарствен продукт, който би могъл да им помогне да постигнат това, съставлява намеса в правата им по този член. Начинът, по който едно лице избира да живее, дори ако този избор би довел до вредни последици, е част от личния живот на всеки човек. Отказите са били с </w:t>
      </w:r>
      <w:proofErr w:type="spellStart"/>
      <w:r w:rsidRPr="00006A07">
        <w:rPr>
          <w:lang w:val="bg-BG"/>
        </w:rPr>
        <w:t>бланкетен</w:t>
      </w:r>
      <w:proofErr w:type="spellEnd"/>
      <w:r w:rsidRPr="00006A07">
        <w:rPr>
          <w:lang w:val="bg-BG"/>
        </w:rPr>
        <w:t xml:space="preserve"> характер, като не са вземали предвид спецификите на всеки случай. Те са били основани на неадекватни нормативни разпоредби, които не са позволявали индивидуализирана преценка и не са отговаряли на неотложна обществена нужда. Те не са имали за цел да запазят живота на  жалбоподателите, тъй като всеки от тях е бил в терминалната фаза на заболяване и без включването на някакъв нов лекарствен продукт, им е оставало малко време живот. В тази връзка трябва да се има предвид, че изключението, за което се спори, просто би дало на жалбоподателите шанс да удължат живота си, а не би предпазило някой друг от понасянето на наказателна отговорност. То вероятно би могло да им помогне да избегнат страдания и смъртта, както се е случило с някои пациенти в други държави.</w:t>
      </w:r>
    </w:p>
    <w:p w:rsidR="0095532B" w:rsidRPr="00006A07" w:rsidRDefault="0095532B" w:rsidP="008D7A78">
      <w:pPr>
        <w:pStyle w:val="JuHA"/>
        <w:rPr>
          <w:lang w:val="bg-BG"/>
        </w:rPr>
      </w:pPr>
      <w:r w:rsidRPr="00006A07">
        <w:rPr>
          <w:lang w:val="bg-BG"/>
        </w:rPr>
        <w:lastRenderedPageBreak/>
        <w:t>Б.  Оценката на Съда</w:t>
      </w:r>
    </w:p>
    <w:p w:rsidR="0095532B" w:rsidRPr="00006A07" w:rsidRDefault="0095532B" w:rsidP="008D7A78">
      <w:pPr>
        <w:pStyle w:val="JuH1"/>
        <w:rPr>
          <w:lang w:val="bg-BG"/>
        </w:rPr>
      </w:pPr>
      <w:r w:rsidRPr="00006A07">
        <w:rPr>
          <w:lang w:val="bg-BG"/>
        </w:rPr>
        <w:t>1. Обхват на делото</w:t>
      </w:r>
    </w:p>
    <w:p w:rsidR="0095532B" w:rsidRPr="00006A07" w:rsidRDefault="0095532B" w:rsidP="008D7A78">
      <w:pPr>
        <w:pStyle w:val="JuPara"/>
        <w:rPr>
          <w:snapToGrid w:val="0"/>
          <w:lang w:val="bg-BG" w:eastAsia="en-US"/>
        </w:rPr>
      </w:pPr>
      <w:r w:rsidRPr="00006A07">
        <w:rPr>
          <w:lang w:val="bg-BG"/>
        </w:rPr>
        <w:fldChar w:fldCharType="begin"/>
      </w:r>
      <w:r w:rsidRPr="00006A07">
        <w:rPr>
          <w:lang w:val="bg-BG"/>
        </w:rPr>
        <w:instrText xml:space="preserve"> SEQ level0 \*arabic </w:instrText>
      </w:r>
      <w:r w:rsidRPr="00006A07">
        <w:rPr>
          <w:lang w:val="bg-BG"/>
        </w:rPr>
        <w:fldChar w:fldCharType="separate"/>
      </w:r>
      <w:r w:rsidRPr="00006A07">
        <w:rPr>
          <w:noProof/>
          <w:lang w:val="bg-BG"/>
        </w:rPr>
        <w:t>105</w:t>
      </w:r>
      <w:r w:rsidRPr="00006A07">
        <w:rPr>
          <w:lang w:val="bg-BG"/>
        </w:rPr>
        <w:fldChar w:fldCharType="end"/>
      </w:r>
      <w:r w:rsidRPr="00006A07">
        <w:rPr>
          <w:lang w:val="bg-BG"/>
        </w:rPr>
        <w:t xml:space="preserve">.  Задачата на Съда по дела, образувани по индивидуални жалби, не е да прави абстрактен преглед на националното право, а да разгледа начина, по който това право е било приложено спрямо жалбоподателите (вж., наред с другите източници, </w:t>
      </w:r>
      <w:proofErr w:type="spellStart"/>
      <w:r w:rsidRPr="00006A07">
        <w:rPr>
          <w:i/>
          <w:iCs/>
          <w:lang w:val="bg-BG"/>
        </w:rPr>
        <w:t>McCann</w:t>
      </w:r>
      <w:proofErr w:type="spellEnd"/>
      <w:r w:rsidRPr="00006A07">
        <w:rPr>
          <w:i/>
          <w:iCs/>
          <w:lang w:val="bg-BG"/>
        </w:rPr>
        <w:t xml:space="preserve"> </w:t>
      </w:r>
      <w:proofErr w:type="spellStart"/>
      <w:r w:rsidRPr="00006A07">
        <w:rPr>
          <w:i/>
          <w:iCs/>
          <w:lang w:val="bg-BG"/>
        </w:rPr>
        <w:t>and</w:t>
      </w:r>
      <w:proofErr w:type="spellEnd"/>
      <w:r w:rsidRPr="00006A07">
        <w:rPr>
          <w:i/>
          <w:iCs/>
          <w:lang w:val="bg-BG"/>
        </w:rPr>
        <w:t xml:space="preserve"> </w:t>
      </w:r>
      <w:proofErr w:type="spellStart"/>
      <w:r w:rsidRPr="00006A07">
        <w:rPr>
          <w:i/>
          <w:iCs/>
          <w:lang w:val="bg-BG"/>
        </w:rPr>
        <w:t>Others</w:t>
      </w:r>
      <w:proofErr w:type="spellEnd"/>
      <w:r w:rsidRPr="00006A07">
        <w:rPr>
          <w:i/>
          <w:iCs/>
          <w:lang w:val="bg-BG"/>
        </w:rPr>
        <w:t xml:space="preserve"> v. </w:t>
      </w:r>
      <w:proofErr w:type="spellStart"/>
      <w:r w:rsidRPr="00006A07">
        <w:rPr>
          <w:i/>
          <w:iCs/>
          <w:lang w:val="bg-BG"/>
        </w:rPr>
        <w:t>the</w:t>
      </w:r>
      <w:proofErr w:type="spellEnd"/>
      <w:r w:rsidRPr="00006A07">
        <w:rPr>
          <w:i/>
          <w:iCs/>
          <w:lang w:val="bg-BG"/>
        </w:rPr>
        <w:t xml:space="preserve"> </w:t>
      </w:r>
      <w:proofErr w:type="spellStart"/>
      <w:r w:rsidRPr="00006A07">
        <w:rPr>
          <w:i/>
          <w:iCs/>
          <w:lang w:val="bg-BG"/>
        </w:rPr>
        <w:t>United</w:t>
      </w:r>
      <w:proofErr w:type="spellEnd"/>
      <w:r w:rsidRPr="00006A07">
        <w:rPr>
          <w:i/>
          <w:iCs/>
          <w:lang w:val="bg-BG"/>
        </w:rPr>
        <w:t xml:space="preserve"> </w:t>
      </w:r>
      <w:proofErr w:type="spellStart"/>
      <w:r w:rsidRPr="00006A07">
        <w:rPr>
          <w:i/>
          <w:iCs/>
          <w:lang w:val="bg-BG"/>
        </w:rPr>
        <w:t>Kingdom</w:t>
      </w:r>
      <w:proofErr w:type="spellEnd"/>
      <w:r w:rsidRPr="00006A07">
        <w:rPr>
          <w:lang w:val="bg-BG"/>
        </w:rPr>
        <w:t xml:space="preserve">, 27 септември 1995 г., § 153, </w:t>
      </w:r>
      <w:proofErr w:type="spellStart"/>
      <w:r w:rsidRPr="00006A07">
        <w:rPr>
          <w:lang w:val="bg-BG"/>
        </w:rPr>
        <w:t>Series</w:t>
      </w:r>
      <w:proofErr w:type="spellEnd"/>
      <w:r w:rsidRPr="00006A07">
        <w:rPr>
          <w:lang w:val="bg-BG"/>
        </w:rPr>
        <w:t xml:space="preserve"> A </w:t>
      </w:r>
      <w:proofErr w:type="spellStart"/>
      <w:r w:rsidRPr="00006A07">
        <w:rPr>
          <w:lang w:val="bg-BG"/>
        </w:rPr>
        <w:t>no</w:t>
      </w:r>
      <w:proofErr w:type="spellEnd"/>
      <w:r w:rsidRPr="00006A07">
        <w:rPr>
          <w:lang w:val="bg-BG"/>
        </w:rPr>
        <w:t xml:space="preserve">. 324; </w:t>
      </w:r>
      <w:proofErr w:type="spellStart"/>
      <w:r w:rsidRPr="00006A07">
        <w:rPr>
          <w:i/>
          <w:iCs/>
          <w:lang w:val="bg-BG"/>
        </w:rPr>
        <w:t>Pham</w:t>
      </w:r>
      <w:proofErr w:type="spellEnd"/>
      <w:r w:rsidRPr="00006A07">
        <w:rPr>
          <w:i/>
          <w:iCs/>
          <w:lang w:val="bg-BG"/>
        </w:rPr>
        <w:t xml:space="preserve"> </w:t>
      </w:r>
      <w:proofErr w:type="spellStart"/>
      <w:r w:rsidRPr="00006A07">
        <w:rPr>
          <w:i/>
          <w:iCs/>
          <w:lang w:val="bg-BG"/>
        </w:rPr>
        <w:t>Hoang</w:t>
      </w:r>
      <w:proofErr w:type="spellEnd"/>
      <w:r w:rsidRPr="00006A07">
        <w:rPr>
          <w:i/>
          <w:iCs/>
          <w:lang w:val="bg-BG"/>
        </w:rPr>
        <w:t xml:space="preserve"> v. </w:t>
      </w:r>
      <w:proofErr w:type="spellStart"/>
      <w:r w:rsidRPr="00006A07">
        <w:rPr>
          <w:i/>
          <w:iCs/>
          <w:lang w:val="bg-BG"/>
        </w:rPr>
        <w:t>France</w:t>
      </w:r>
      <w:proofErr w:type="spellEnd"/>
      <w:r w:rsidRPr="00006A07">
        <w:rPr>
          <w:lang w:val="bg-BG"/>
        </w:rPr>
        <w:t xml:space="preserve">, 25 септември 1992 г., § 33, </w:t>
      </w:r>
      <w:proofErr w:type="spellStart"/>
      <w:r w:rsidRPr="00006A07">
        <w:rPr>
          <w:lang w:val="bg-BG"/>
        </w:rPr>
        <w:t>Series</w:t>
      </w:r>
      <w:proofErr w:type="spellEnd"/>
      <w:r w:rsidRPr="00006A07">
        <w:rPr>
          <w:lang w:val="bg-BG"/>
        </w:rPr>
        <w:t xml:space="preserve"> A </w:t>
      </w:r>
      <w:proofErr w:type="spellStart"/>
      <w:r w:rsidRPr="00006A07">
        <w:rPr>
          <w:lang w:val="bg-BG"/>
        </w:rPr>
        <w:t>no</w:t>
      </w:r>
      <w:proofErr w:type="spellEnd"/>
      <w:r w:rsidRPr="00006A07">
        <w:rPr>
          <w:lang w:val="bg-BG"/>
        </w:rPr>
        <w:t xml:space="preserve">. 243; </w:t>
      </w:r>
      <w:proofErr w:type="spellStart"/>
      <w:r w:rsidRPr="00006A07">
        <w:rPr>
          <w:i/>
          <w:iCs/>
          <w:lang w:val="bg-BG"/>
        </w:rPr>
        <w:t>Sommerfeld</w:t>
      </w:r>
      <w:proofErr w:type="spellEnd"/>
      <w:r w:rsidRPr="00006A07">
        <w:rPr>
          <w:i/>
          <w:iCs/>
          <w:lang w:val="bg-BG"/>
        </w:rPr>
        <w:t xml:space="preserve"> v. </w:t>
      </w:r>
      <w:proofErr w:type="spellStart"/>
      <w:r w:rsidRPr="00006A07">
        <w:rPr>
          <w:i/>
          <w:iCs/>
          <w:lang w:val="bg-BG"/>
        </w:rPr>
        <w:t>Germany</w:t>
      </w:r>
      <w:proofErr w:type="spellEnd"/>
      <w:r w:rsidRPr="00006A07">
        <w:rPr>
          <w:lang w:val="bg-BG"/>
        </w:rPr>
        <w:t xml:space="preserve"> [GC], </w:t>
      </w:r>
      <w:proofErr w:type="spellStart"/>
      <w:r w:rsidRPr="00006A07">
        <w:rPr>
          <w:lang w:val="bg-BG"/>
        </w:rPr>
        <w:t>no</w:t>
      </w:r>
      <w:proofErr w:type="spellEnd"/>
      <w:r w:rsidRPr="00006A07">
        <w:rPr>
          <w:lang w:val="bg-BG"/>
        </w:rPr>
        <w:t>. 31871/96, § 86, ECHR 2003</w:t>
      </w:r>
      <w:r w:rsidRPr="00006A07">
        <w:rPr>
          <w:lang w:val="bg-BG"/>
        </w:rPr>
        <w:noBreakHyphen/>
        <w:t xml:space="preserve">VIII; </w:t>
      </w:r>
      <w:proofErr w:type="spellStart"/>
      <w:r w:rsidRPr="00006A07">
        <w:rPr>
          <w:lang w:val="bg-BG"/>
        </w:rPr>
        <w:t>and</w:t>
      </w:r>
      <w:proofErr w:type="spellEnd"/>
      <w:r w:rsidRPr="00006A07">
        <w:rPr>
          <w:lang w:val="bg-BG"/>
        </w:rPr>
        <w:t xml:space="preserve"> </w:t>
      </w:r>
      <w:r w:rsidRPr="00006A07">
        <w:rPr>
          <w:i/>
          <w:iCs/>
          <w:lang w:val="bg-BG" w:eastAsia="en-US"/>
        </w:rPr>
        <w:t xml:space="preserve">S.H. </w:t>
      </w:r>
      <w:proofErr w:type="spellStart"/>
      <w:r w:rsidRPr="00006A07">
        <w:rPr>
          <w:i/>
          <w:iCs/>
          <w:lang w:val="bg-BG" w:eastAsia="en-US"/>
        </w:rPr>
        <w:t>and</w:t>
      </w:r>
      <w:proofErr w:type="spellEnd"/>
      <w:r w:rsidRPr="00006A07">
        <w:rPr>
          <w:i/>
          <w:iCs/>
          <w:lang w:val="bg-BG" w:eastAsia="en-US"/>
        </w:rPr>
        <w:t xml:space="preserve"> </w:t>
      </w:r>
      <w:proofErr w:type="spellStart"/>
      <w:r w:rsidRPr="00006A07">
        <w:rPr>
          <w:i/>
          <w:iCs/>
          <w:lang w:val="bg-BG" w:eastAsia="en-US"/>
        </w:rPr>
        <w:t>Others</w:t>
      </w:r>
      <w:proofErr w:type="spellEnd"/>
      <w:r w:rsidRPr="00006A07">
        <w:rPr>
          <w:i/>
          <w:iCs/>
          <w:lang w:val="bg-BG" w:eastAsia="en-US"/>
        </w:rPr>
        <w:t xml:space="preserve"> v. </w:t>
      </w:r>
      <w:proofErr w:type="spellStart"/>
      <w:r w:rsidRPr="00006A07">
        <w:rPr>
          <w:i/>
          <w:iCs/>
          <w:lang w:val="bg-BG" w:eastAsia="en-US"/>
        </w:rPr>
        <w:t>Austria</w:t>
      </w:r>
      <w:proofErr w:type="spellEnd"/>
      <w:r w:rsidRPr="00006A07">
        <w:rPr>
          <w:i/>
          <w:iCs/>
          <w:lang w:val="bg-BG" w:eastAsia="en-US"/>
        </w:rPr>
        <w:t xml:space="preserve"> </w:t>
      </w:r>
      <w:r w:rsidRPr="00006A07">
        <w:rPr>
          <w:lang w:val="bg-BG" w:eastAsia="en-US"/>
        </w:rPr>
        <w:t xml:space="preserve">[GC], </w:t>
      </w:r>
      <w:proofErr w:type="spellStart"/>
      <w:r w:rsidRPr="00006A07">
        <w:rPr>
          <w:lang w:val="bg-BG" w:eastAsia="en-US"/>
        </w:rPr>
        <w:t>no</w:t>
      </w:r>
      <w:proofErr w:type="spellEnd"/>
      <w:r w:rsidRPr="00006A07">
        <w:rPr>
          <w:lang w:val="bg-BG" w:eastAsia="en-US"/>
        </w:rPr>
        <w:t>. 57813/00, § 92, ECHR 2011 г.</w:t>
      </w:r>
      <w:r w:rsidRPr="00006A07">
        <w:rPr>
          <w:lang w:val="bg-BG" w:eastAsia="en-US"/>
        </w:rPr>
        <w:noBreakHyphen/>
        <w:t>...</w:t>
      </w:r>
      <w:r w:rsidRPr="00006A07">
        <w:rPr>
          <w:snapToGrid w:val="0"/>
          <w:lang w:val="bg-BG" w:eastAsia="en-US"/>
        </w:rPr>
        <w:t xml:space="preserve">). Съдът трябва също така да ограничи вниманието си, доколкото е възможно, до конкретните обстоятелства по делото, заведено пред него (вж., наред с другите източници, </w:t>
      </w:r>
      <w:proofErr w:type="spellStart"/>
      <w:r w:rsidRPr="00006A07">
        <w:rPr>
          <w:i/>
          <w:iCs/>
          <w:snapToGrid w:val="0"/>
          <w:lang w:val="bg-BG" w:eastAsia="en-US"/>
        </w:rPr>
        <w:t>Wettstein</w:t>
      </w:r>
      <w:proofErr w:type="spellEnd"/>
      <w:r w:rsidRPr="00006A07">
        <w:rPr>
          <w:i/>
          <w:iCs/>
          <w:snapToGrid w:val="0"/>
          <w:lang w:val="bg-BG" w:eastAsia="en-US"/>
        </w:rPr>
        <w:t xml:space="preserve"> v. </w:t>
      </w:r>
      <w:proofErr w:type="spellStart"/>
      <w:r w:rsidRPr="00006A07">
        <w:rPr>
          <w:i/>
          <w:iCs/>
          <w:snapToGrid w:val="0"/>
          <w:lang w:val="bg-BG" w:eastAsia="en-US"/>
        </w:rPr>
        <w:t>Switzerland</w:t>
      </w:r>
      <w:proofErr w:type="spellEnd"/>
      <w:r w:rsidRPr="00006A07">
        <w:rPr>
          <w:snapToGrid w:val="0"/>
          <w:lang w:val="bg-BG" w:eastAsia="en-US"/>
        </w:rPr>
        <w:t xml:space="preserve">, </w:t>
      </w:r>
      <w:proofErr w:type="spellStart"/>
      <w:r w:rsidRPr="00006A07">
        <w:rPr>
          <w:snapToGrid w:val="0"/>
          <w:lang w:val="bg-BG" w:eastAsia="en-US"/>
        </w:rPr>
        <w:t>no</w:t>
      </w:r>
      <w:proofErr w:type="spellEnd"/>
      <w:r w:rsidRPr="00006A07">
        <w:rPr>
          <w:snapToGrid w:val="0"/>
          <w:lang w:val="bg-BG" w:eastAsia="en-US"/>
        </w:rPr>
        <w:t>. 33958/96, § 41, ECHR 2000</w:t>
      </w:r>
      <w:r w:rsidRPr="00006A07">
        <w:rPr>
          <w:snapToGrid w:val="0"/>
          <w:lang w:val="bg-BG" w:eastAsia="en-US"/>
        </w:rPr>
        <w:noBreakHyphen/>
        <w:t xml:space="preserve">XII, и </w:t>
      </w:r>
      <w:proofErr w:type="spellStart"/>
      <w:r w:rsidRPr="00006A07">
        <w:rPr>
          <w:i/>
          <w:iCs/>
          <w:snapToGrid w:val="0"/>
          <w:lang w:val="bg-BG" w:eastAsia="en-US"/>
        </w:rPr>
        <w:t>Sommerfeld</w:t>
      </w:r>
      <w:proofErr w:type="spellEnd"/>
      <w:r w:rsidRPr="00006A07">
        <w:rPr>
          <w:snapToGrid w:val="0"/>
          <w:lang w:val="bg-BG" w:eastAsia="en-US"/>
        </w:rPr>
        <w:t>, цитирано по-горе, § 86). Поради това Съдът не е призован в настоящия случай да постановява решение относно системата от правила, които уреждат достъпа до неразрешени за употреба лекарствени продукти в България, или да решава дали отказът на достъп до лекарствени продукти е принципно съвместим с Конвенцията. Освен това Съдът не е компетентен да изразява становище относно това дали дадено медицинско лечение е подходящо</w:t>
      </w:r>
      <w:r w:rsidRPr="00006A07">
        <w:rPr>
          <w:lang w:val="bg-BG"/>
        </w:rPr>
        <w:t>. На последно място,</w:t>
      </w:r>
      <w:r w:rsidRPr="00006A07">
        <w:rPr>
          <w:snapToGrid w:val="0"/>
          <w:lang w:val="bg-BG" w:eastAsia="en-US"/>
        </w:rPr>
        <w:t xml:space="preserve"> Съдът не трябва да установява дали продуктът, който жалбоподателите са искали да използват, отговаря на изискванията на правото на Европейския съюз и по-специално на изискването на член 83 § 2 от Регламент (EО) № 726/2004 да бъде в процес на клинични изпитвания (вж. параграфи </w:t>
      </w:r>
      <w:r w:rsidRPr="00006A07">
        <w:rPr>
          <w:snapToGrid w:val="0"/>
          <w:lang w:val="bg-BG" w:eastAsia="en-US"/>
        </w:rPr>
        <w:fldChar w:fldCharType="begin"/>
      </w:r>
      <w:r w:rsidRPr="00006A07">
        <w:rPr>
          <w:snapToGrid w:val="0"/>
          <w:lang w:val="bg-BG" w:eastAsia="en-US"/>
        </w:rPr>
        <w:instrText xml:space="preserve"> REF F_clinical_trials_dispute \h </w:instrText>
      </w:r>
      <w:r w:rsidRPr="00006A07">
        <w:rPr>
          <w:snapToGrid w:val="0"/>
          <w:lang w:val="bg-BG" w:eastAsia="en-US"/>
        </w:rPr>
      </w:r>
      <w:r w:rsidRPr="00006A07">
        <w:rPr>
          <w:snapToGrid w:val="0"/>
          <w:lang w:val="bg-BG" w:eastAsia="en-US"/>
        </w:rPr>
        <w:fldChar w:fldCharType="separate"/>
      </w:r>
      <w:r w:rsidRPr="00006A07">
        <w:rPr>
          <w:noProof/>
          <w:lang w:val="bg-BG"/>
        </w:rPr>
        <w:t>10</w:t>
      </w:r>
      <w:r w:rsidRPr="00006A07">
        <w:rPr>
          <w:snapToGrid w:val="0"/>
          <w:lang w:val="bg-BG" w:eastAsia="en-US"/>
        </w:rPr>
        <w:fldChar w:fldCharType="end"/>
      </w:r>
      <w:r w:rsidRPr="00006A07">
        <w:rPr>
          <w:snapToGrid w:val="0"/>
          <w:lang w:val="bg-BG" w:eastAsia="en-US"/>
        </w:rPr>
        <w:t xml:space="preserve">, </w:t>
      </w:r>
      <w:r w:rsidRPr="00006A07">
        <w:rPr>
          <w:snapToGrid w:val="0"/>
          <w:lang w:val="bg-BG" w:eastAsia="en-US"/>
        </w:rPr>
        <w:fldChar w:fldCharType="begin"/>
      </w:r>
      <w:r w:rsidRPr="00006A07">
        <w:rPr>
          <w:snapToGrid w:val="0"/>
          <w:lang w:val="bg-BG" w:eastAsia="en-US"/>
        </w:rPr>
        <w:instrText xml:space="preserve"> REF REUL_Directive_2001_83_EC_Article_5 \h </w:instrText>
      </w:r>
      <w:r w:rsidRPr="00006A07">
        <w:rPr>
          <w:snapToGrid w:val="0"/>
          <w:lang w:val="bg-BG" w:eastAsia="en-US"/>
        </w:rPr>
      </w:r>
      <w:r w:rsidRPr="00006A07">
        <w:rPr>
          <w:snapToGrid w:val="0"/>
          <w:lang w:val="bg-BG" w:eastAsia="en-US"/>
        </w:rPr>
        <w:fldChar w:fldCharType="separate"/>
      </w:r>
      <w:r w:rsidRPr="00006A07">
        <w:rPr>
          <w:noProof/>
          <w:lang w:val="bg-BG"/>
        </w:rPr>
        <w:t>45</w:t>
      </w:r>
      <w:r w:rsidRPr="00006A07">
        <w:rPr>
          <w:snapToGrid w:val="0"/>
          <w:lang w:val="bg-BG" w:eastAsia="en-US"/>
        </w:rPr>
        <w:fldChar w:fldCharType="end"/>
      </w:r>
      <w:r w:rsidRPr="00006A07">
        <w:rPr>
          <w:snapToGrid w:val="0"/>
          <w:lang w:val="bg-BG" w:eastAsia="en-US"/>
        </w:rPr>
        <w:t xml:space="preserve"> и </w:t>
      </w:r>
      <w:r w:rsidRPr="00006A07">
        <w:rPr>
          <w:snapToGrid w:val="0"/>
          <w:lang w:val="bg-BG" w:eastAsia="en-US"/>
        </w:rPr>
        <w:fldChar w:fldCharType="begin"/>
      </w:r>
      <w:r w:rsidRPr="00006A07">
        <w:rPr>
          <w:snapToGrid w:val="0"/>
          <w:lang w:val="bg-BG" w:eastAsia="en-US"/>
        </w:rPr>
        <w:instrText xml:space="preserve"> REF REUL_Regulation_726_2004_Article_83 \h </w:instrText>
      </w:r>
      <w:r w:rsidRPr="00006A07">
        <w:rPr>
          <w:snapToGrid w:val="0"/>
          <w:lang w:val="bg-BG" w:eastAsia="en-US"/>
        </w:rPr>
      </w:r>
      <w:r w:rsidRPr="00006A07">
        <w:rPr>
          <w:snapToGrid w:val="0"/>
          <w:lang w:val="bg-BG" w:eastAsia="en-US"/>
        </w:rPr>
        <w:fldChar w:fldCharType="separate"/>
      </w:r>
      <w:r w:rsidRPr="00006A07">
        <w:rPr>
          <w:noProof/>
          <w:lang w:val="bg-BG"/>
        </w:rPr>
        <w:t>50</w:t>
      </w:r>
      <w:r w:rsidRPr="00006A07">
        <w:rPr>
          <w:snapToGrid w:val="0"/>
          <w:lang w:val="bg-BG" w:eastAsia="en-US"/>
        </w:rPr>
        <w:fldChar w:fldCharType="end"/>
      </w:r>
      <w:r w:rsidRPr="00006A07">
        <w:rPr>
          <w:snapToGrid w:val="0"/>
          <w:lang w:val="bg-BG" w:eastAsia="en-US"/>
        </w:rPr>
        <w:t xml:space="preserve"> по-горе); Съдът е компетентен да прилага единствено Конвенцията и не е негова задача да разглежда съответствието с други международни инструменти (вж. </w:t>
      </w:r>
      <w:r w:rsidRPr="00006A07">
        <w:rPr>
          <w:i/>
          <w:iCs/>
          <w:snapToGrid w:val="0"/>
          <w:lang w:val="bg-BG" w:eastAsia="en-US"/>
        </w:rPr>
        <w:t xml:space="preserve">Di </w:t>
      </w:r>
      <w:proofErr w:type="spellStart"/>
      <w:r w:rsidRPr="00006A07">
        <w:rPr>
          <w:i/>
          <w:iCs/>
          <w:snapToGrid w:val="0"/>
          <w:lang w:val="bg-BG" w:eastAsia="en-US"/>
        </w:rPr>
        <w:t>Giovine</w:t>
      </w:r>
      <w:proofErr w:type="spellEnd"/>
      <w:r w:rsidRPr="00006A07">
        <w:rPr>
          <w:i/>
          <w:iCs/>
          <w:snapToGrid w:val="0"/>
          <w:lang w:val="bg-BG" w:eastAsia="en-US"/>
        </w:rPr>
        <w:t xml:space="preserve"> v. </w:t>
      </w:r>
      <w:proofErr w:type="spellStart"/>
      <w:r w:rsidRPr="00006A07">
        <w:rPr>
          <w:i/>
          <w:iCs/>
          <w:snapToGrid w:val="0"/>
          <w:lang w:val="bg-BG" w:eastAsia="en-US"/>
        </w:rPr>
        <w:t>Portugal</w:t>
      </w:r>
      <w:proofErr w:type="spellEnd"/>
      <w:r w:rsidRPr="00006A07">
        <w:rPr>
          <w:snapToGrid w:val="0"/>
          <w:lang w:val="bg-BG" w:eastAsia="en-US"/>
        </w:rPr>
        <w:t xml:space="preserve"> (</w:t>
      </w:r>
      <w:proofErr w:type="spellStart"/>
      <w:r w:rsidRPr="00006A07">
        <w:rPr>
          <w:snapToGrid w:val="0"/>
          <w:lang w:val="bg-BG" w:eastAsia="en-US"/>
        </w:rPr>
        <w:t>dec</w:t>
      </w:r>
      <w:proofErr w:type="spellEnd"/>
      <w:r w:rsidRPr="00006A07">
        <w:rPr>
          <w:snapToGrid w:val="0"/>
          <w:lang w:val="bg-BG" w:eastAsia="en-US"/>
        </w:rPr>
        <w:t xml:space="preserve">.), </w:t>
      </w:r>
      <w:proofErr w:type="spellStart"/>
      <w:r w:rsidRPr="00006A07">
        <w:rPr>
          <w:snapToGrid w:val="0"/>
          <w:lang w:val="bg-BG" w:eastAsia="en-US"/>
        </w:rPr>
        <w:t>no</w:t>
      </w:r>
      <w:proofErr w:type="spellEnd"/>
      <w:r w:rsidRPr="00006A07">
        <w:rPr>
          <w:snapToGrid w:val="0"/>
          <w:lang w:val="bg-BG" w:eastAsia="en-US"/>
        </w:rPr>
        <w:t xml:space="preserve">. 39912/98, 31 август 1999 г.; </w:t>
      </w:r>
      <w:proofErr w:type="spellStart"/>
      <w:r w:rsidRPr="00006A07">
        <w:rPr>
          <w:i/>
          <w:iCs/>
          <w:snapToGrid w:val="0"/>
          <w:lang w:val="bg-BG" w:eastAsia="en-US"/>
        </w:rPr>
        <w:t>Hermida</w:t>
      </w:r>
      <w:proofErr w:type="spellEnd"/>
      <w:r w:rsidRPr="00006A07">
        <w:rPr>
          <w:i/>
          <w:iCs/>
          <w:snapToGrid w:val="0"/>
          <w:lang w:val="bg-BG" w:eastAsia="en-US"/>
        </w:rPr>
        <w:t xml:space="preserve"> </w:t>
      </w:r>
      <w:proofErr w:type="spellStart"/>
      <w:r w:rsidRPr="00006A07">
        <w:rPr>
          <w:i/>
          <w:iCs/>
          <w:snapToGrid w:val="0"/>
          <w:lang w:val="bg-BG" w:eastAsia="en-US"/>
        </w:rPr>
        <w:t>Paz</w:t>
      </w:r>
      <w:proofErr w:type="spellEnd"/>
      <w:r w:rsidRPr="00006A07">
        <w:rPr>
          <w:i/>
          <w:iCs/>
          <w:snapToGrid w:val="0"/>
          <w:lang w:val="bg-BG" w:eastAsia="en-US"/>
        </w:rPr>
        <w:t xml:space="preserve"> v. </w:t>
      </w:r>
      <w:proofErr w:type="spellStart"/>
      <w:r w:rsidRPr="00006A07">
        <w:rPr>
          <w:i/>
          <w:iCs/>
          <w:snapToGrid w:val="0"/>
          <w:lang w:val="bg-BG" w:eastAsia="en-US"/>
        </w:rPr>
        <w:t>Spain</w:t>
      </w:r>
      <w:proofErr w:type="spellEnd"/>
      <w:r w:rsidRPr="00006A07">
        <w:rPr>
          <w:snapToGrid w:val="0"/>
          <w:lang w:val="bg-BG" w:eastAsia="en-US"/>
        </w:rPr>
        <w:t xml:space="preserve"> (</w:t>
      </w:r>
      <w:proofErr w:type="spellStart"/>
      <w:r w:rsidRPr="00006A07">
        <w:rPr>
          <w:snapToGrid w:val="0"/>
          <w:lang w:val="bg-BG" w:eastAsia="en-US"/>
        </w:rPr>
        <w:t>dec</w:t>
      </w:r>
      <w:proofErr w:type="spellEnd"/>
      <w:r w:rsidRPr="00006A07">
        <w:rPr>
          <w:snapToGrid w:val="0"/>
          <w:lang w:val="bg-BG" w:eastAsia="en-US"/>
        </w:rPr>
        <w:t xml:space="preserve">.), </w:t>
      </w:r>
      <w:proofErr w:type="spellStart"/>
      <w:r w:rsidRPr="00006A07">
        <w:rPr>
          <w:snapToGrid w:val="0"/>
          <w:lang w:val="bg-BG" w:eastAsia="en-US"/>
        </w:rPr>
        <w:t>no</w:t>
      </w:r>
      <w:proofErr w:type="spellEnd"/>
      <w:r w:rsidRPr="00006A07">
        <w:rPr>
          <w:snapToGrid w:val="0"/>
          <w:lang w:val="bg-BG" w:eastAsia="en-US"/>
        </w:rPr>
        <w:t xml:space="preserve">. 4160/02, 28 януари 2003 г.; </w:t>
      </w:r>
      <w:proofErr w:type="spellStart"/>
      <w:r w:rsidRPr="00006A07">
        <w:rPr>
          <w:i/>
          <w:iCs/>
          <w:lang w:val="bg-BG" w:eastAsia="en-US"/>
        </w:rPr>
        <w:t>Somogyi</w:t>
      </w:r>
      <w:proofErr w:type="spellEnd"/>
      <w:r w:rsidRPr="00006A07">
        <w:rPr>
          <w:i/>
          <w:iCs/>
          <w:lang w:val="bg-BG" w:eastAsia="en-US"/>
        </w:rPr>
        <w:t xml:space="preserve"> v. </w:t>
      </w:r>
      <w:proofErr w:type="spellStart"/>
      <w:r w:rsidRPr="00006A07">
        <w:rPr>
          <w:i/>
          <w:iCs/>
          <w:lang w:val="bg-BG" w:eastAsia="en-US"/>
        </w:rPr>
        <w:t>Italy</w:t>
      </w:r>
      <w:proofErr w:type="spellEnd"/>
      <w:r w:rsidRPr="00006A07">
        <w:rPr>
          <w:lang w:val="bg-BG" w:eastAsia="en-US"/>
        </w:rPr>
        <w:t xml:space="preserve">, </w:t>
      </w:r>
      <w:proofErr w:type="spellStart"/>
      <w:r w:rsidRPr="00006A07">
        <w:rPr>
          <w:lang w:val="bg-BG" w:eastAsia="en-US"/>
        </w:rPr>
        <w:t>no</w:t>
      </w:r>
      <w:proofErr w:type="spellEnd"/>
      <w:r w:rsidRPr="00006A07">
        <w:rPr>
          <w:lang w:val="bg-BG" w:eastAsia="en-US"/>
        </w:rPr>
        <w:t>. 67972/01, § 62, ECHR 2004</w:t>
      </w:r>
      <w:r w:rsidRPr="00006A07">
        <w:rPr>
          <w:lang w:val="bg-BG" w:eastAsia="en-US"/>
        </w:rPr>
        <w:noBreakHyphen/>
        <w:t xml:space="preserve">IV; </w:t>
      </w:r>
      <w:proofErr w:type="spellStart"/>
      <w:r w:rsidRPr="00006A07">
        <w:rPr>
          <w:i/>
          <w:iCs/>
          <w:snapToGrid w:val="0"/>
          <w:lang w:val="bg-BG" w:eastAsia="en-US"/>
        </w:rPr>
        <w:t>Calheiros</w:t>
      </w:r>
      <w:proofErr w:type="spellEnd"/>
      <w:r w:rsidRPr="00006A07">
        <w:rPr>
          <w:i/>
          <w:iCs/>
          <w:snapToGrid w:val="0"/>
          <w:lang w:val="bg-BG" w:eastAsia="en-US"/>
        </w:rPr>
        <w:t xml:space="preserve"> </w:t>
      </w:r>
      <w:proofErr w:type="spellStart"/>
      <w:r w:rsidRPr="00006A07">
        <w:rPr>
          <w:i/>
          <w:iCs/>
          <w:snapToGrid w:val="0"/>
          <w:lang w:val="bg-BG" w:eastAsia="en-US"/>
        </w:rPr>
        <w:t>Lopes</w:t>
      </w:r>
      <w:proofErr w:type="spellEnd"/>
      <w:r w:rsidRPr="00006A07">
        <w:rPr>
          <w:i/>
          <w:iCs/>
          <w:snapToGrid w:val="0"/>
          <w:lang w:val="bg-BG" w:eastAsia="en-US"/>
        </w:rPr>
        <w:t xml:space="preserve"> </w:t>
      </w:r>
      <w:proofErr w:type="spellStart"/>
      <w:r w:rsidRPr="00006A07">
        <w:rPr>
          <w:i/>
          <w:iCs/>
          <w:snapToGrid w:val="0"/>
          <w:lang w:val="bg-BG" w:eastAsia="en-US"/>
        </w:rPr>
        <w:t>and</w:t>
      </w:r>
      <w:proofErr w:type="spellEnd"/>
      <w:r w:rsidRPr="00006A07">
        <w:rPr>
          <w:i/>
          <w:iCs/>
          <w:snapToGrid w:val="0"/>
          <w:lang w:val="bg-BG" w:eastAsia="en-US"/>
        </w:rPr>
        <w:t xml:space="preserve"> </w:t>
      </w:r>
      <w:proofErr w:type="spellStart"/>
      <w:r w:rsidRPr="00006A07">
        <w:rPr>
          <w:i/>
          <w:iCs/>
          <w:snapToGrid w:val="0"/>
          <w:lang w:val="bg-BG" w:eastAsia="en-US"/>
        </w:rPr>
        <w:t>Others</w:t>
      </w:r>
      <w:proofErr w:type="spellEnd"/>
      <w:r w:rsidRPr="00006A07">
        <w:rPr>
          <w:i/>
          <w:iCs/>
          <w:snapToGrid w:val="0"/>
          <w:lang w:val="bg-BG" w:eastAsia="en-US"/>
        </w:rPr>
        <w:t xml:space="preserve"> v. </w:t>
      </w:r>
      <w:proofErr w:type="spellStart"/>
      <w:r w:rsidRPr="00006A07">
        <w:rPr>
          <w:i/>
          <w:iCs/>
          <w:snapToGrid w:val="0"/>
          <w:lang w:val="bg-BG" w:eastAsia="en-US"/>
        </w:rPr>
        <w:t>Portugal</w:t>
      </w:r>
      <w:proofErr w:type="spellEnd"/>
      <w:r w:rsidRPr="00006A07">
        <w:rPr>
          <w:snapToGrid w:val="0"/>
          <w:lang w:val="bg-BG" w:eastAsia="en-US"/>
        </w:rPr>
        <w:t xml:space="preserve"> (</w:t>
      </w:r>
      <w:proofErr w:type="spellStart"/>
      <w:r w:rsidRPr="00006A07">
        <w:rPr>
          <w:snapToGrid w:val="0"/>
          <w:lang w:val="bg-BG" w:eastAsia="en-US"/>
        </w:rPr>
        <w:t>dec</w:t>
      </w:r>
      <w:proofErr w:type="spellEnd"/>
      <w:r w:rsidRPr="00006A07">
        <w:rPr>
          <w:snapToGrid w:val="0"/>
          <w:lang w:val="bg-BG" w:eastAsia="en-US"/>
        </w:rPr>
        <w:t xml:space="preserve">.), </w:t>
      </w:r>
      <w:proofErr w:type="spellStart"/>
      <w:r w:rsidRPr="00006A07">
        <w:rPr>
          <w:snapToGrid w:val="0"/>
          <w:lang w:val="bg-BG" w:eastAsia="en-US"/>
        </w:rPr>
        <w:t>no</w:t>
      </w:r>
      <w:proofErr w:type="spellEnd"/>
      <w:r w:rsidRPr="00006A07">
        <w:rPr>
          <w:snapToGrid w:val="0"/>
          <w:lang w:val="bg-BG" w:eastAsia="en-US"/>
        </w:rPr>
        <w:t xml:space="preserve">. 69338/01, 3 юни 2004 г.; и </w:t>
      </w:r>
      <w:proofErr w:type="spellStart"/>
      <w:r w:rsidRPr="00006A07">
        <w:rPr>
          <w:i/>
          <w:iCs/>
          <w:snapToGrid w:val="0"/>
          <w:lang w:val="bg-BG" w:eastAsia="en-US"/>
        </w:rPr>
        <w:t>Böheim</w:t>
      </w:r>
      <w:proofErr w:type="spellEnd"/>
      <w:r w:rsidRPr="00006A07">
        <w:rPr>
          <w:i/>
          <w:iCs/>
          <w:snapToGrid w:val="0"/>
          <w:lang w:val="bg-BG" w:eastAsia="en-US"/>
        </w:rPr>
        <w:t xml:space="preserve"> v. </w:t>
      </w:r>
      <w:proofErr w:type="spellStart"/>
      <w:r w:rsidRPr="00006A07">
        <w:rPr>
          <w:i/>
          <w:iCs/>
          <w:snapToGrid w:val="0"/>
          <w:lang w:val="bg-BG" w:eastAsia="en-US"/>
        </w:rPr>
        <w:t>Italy</w:t>
      </w:r>
      <w:proofErr w:type="spellEnd"/>
      <w:r w:rsidRPr="00006A07">
        <w:rPr>
          <w:snapToGrid w:val="0"/>
          <w:lang w:val="bg-BG" w:eastAsia="en-US"/>
        </w:rPr>
        <w:t xml:space="preserve"> (</w:t>
      </w:r>
      <w:proofErr w:type="spellStart"/>
      <w:r w:rsidRPr="00006A07">
        <w:rPr>
          <w:snapToGrid w:val="0"/>
          <w:lang w:val="bg-BG" w:eastAsia="en-US"/>
        </w:rPr>
        <w:t>dec</w:t>
      </w:r>
      <w:proofErr w:type="spellEnd"/>
      <w:r w:rsidRPr="00006A07">
        <w:rPr>
          <w:snapToGrid w:val="0"/>
          <w:lang w:val="bg-BG" w:eastAsia="en-US"/>
        </w:rPr>
        <w:t xml:space="preserve">.), </w:t>
      </w:r>
      <w:proofErr w:type="spellStart"/>
      <w:r w:rsidRPr="00006A07">
        <w:rPr>
          <w:snapToGrid w:val="0"/>
          <w:lang w:val="bg-BG" w:eastAsia="en-US"/>
        </w:rPr>
        <w:t>no</w:t>
      </w:r>
      <w:proofErr w:type="spellEnd"/>
      <w:r w:rsidRPr="00006A07">
        <w:rPr>
          <w:snapToGrid w:val="0"/>
          <w:lang w:val="bg-BG" w:eastAsia="en-US"/>
        </w:rPr>
        <w:t>. 35666/05, 22 май 2007 г.). В настоящия случай Съдът трябва да се произнесе единствено по това дали отказите да бъде разрешен на жалбоподателите достъп до въпросния продукт са съвместими с правата им по Конвенцията.</w:t>
      </w:r>
    </w:p>
    <w:p w:rsidR="0095532B" w:rsidRPr="00006A07" w:rsidRDefault="0095532B" w:rsidP="008D7A78">
      <w:pPr>
        <w:pStyle w:val="JuH1"/>
        <w:rPr>
          <w:lang w:val="bg-BG"/>
        </w:rPr>
      </w:pPr>
      <w:r w:rsidRPr="00006A07">
        <w:rPr>
          <w:lang w:val="bg-BG"/>
        </w:rPr>
        <w:t>2.  Твърдяно нарушение на член 2 от Конвенцията</w:t>
      </w:r>
    </w:p>
    <w:p w:rsidR="0095532B" w:rsidRPr="00006A07" w:rsidRDefault="0095532B" w:rsidP="008D7A78">
      <w:pPr>
        <w:pStyle w:val="JuPara"/>
        <w:rPr>
          <w:lang w:val="bg-BG" w:eastAsia="en-US"/>
        </w:rPr>
      </w:pPr>
      <w:r w:rsidRPr="00006A07">
        <w:rPr>
          <w:lang w:val="bg-BG"/>
        </w:rPr>
        <w:fldChar w:fldCharType="begin"/>
      </w:r>
      <w:r w:rsidRPr="00006A07">
        <w:rPr>
          <w:lang w:val="bg-BG"/>
        </w:rPr>
        <w:instrText xml:space="preserve"> SEQ level0 \*arabic </w:instrText>
      </w:r>
      <w:r w:rsidRPr="00006A07">
        <w:rPr>
          <w:lang w:val="bg-BG"/>
        </w:rPr>
        <w:fldChar w:fldCharType="separate"/>
      </w:r>
      <w:r w:rsidRPr="00006A07">
        <w:rPr>
          <w:noProof/>
          <w:lang w:val="bg-BG"/>
        </w:rPr>
        <w:t>106</w:t>
      </w:r>
      <w:r w:rsidRPr="00006A07">
        <w:rPr>
          <w:lang w:val="bg-BG"/>
        </w:rPr>
        <w:fldChar w:fldCharType="end"/>
      </w:r>
      <w:r w:rsidRPr="00006A07">
        <w:rPr>
          <w:lang w:val="bg-BG"/>
        </w:rPr>
        <w:t xml:space="preserve">.  Първото изречение на член 2 задължава Държавата не само да се въздържа от умишлено или незаконно лишаване от живот, но и да предприеме необходимите действия, с които да защити живота на лицата в своята юрисдикция (вж., наред с другите източници, </w:t>
      </w:r>
      <w:proofErr w:type="spellStart"/>
      <w:r w:rsidRPr="00006A07">
        <w:rPr>
          <w:i/>
          <w:iCs/>
          <w:lang w:val="bg-BG" w:eastAsia="en-US"/>
        </w:rPr>
        <w:t>Calvelli</w:t>
      </w:r>
      <w:proofErr w:type="spellEnd"/>
      <w:r w:rsidRPr="00006A07">
        <w:rPr>
          <w:i/>
          <w:iCs/>
          <w:lang w:val="bg-BG" w:eastAsia="en-US"/>
        </w:rPr>
        <w:t xml:space="preserve"> </w:t>
      </w:r>
      <w:proofErr w:type="spellStart"/>
      <w:r w:rsidRPr="00006A07">
        <w:rPr>
          <w:i/>
          <w:iCs/>
          <w:lang w:val="bg-BG" w:eastAsia="en-US"/>
        </w:rPr>
        <w:t>and</w:t>
      </w:r>
      <w:proofErr w:type="spellEnd"/>
      <w:r w:rsidRPr="00006A07">
        <w:rPr>
          <w:i/>
          <w:iCs/>
          <w:lang w:val="bg-BG" w:eastAsia="en-US"/>
        </w:rPr>
        <w:t xml:space="preserve"> </w:t>
      </w:r>
      <w:proofErr w:type="spellStart"/>
      <w:r w:rsidRPr="00006A07">
        <w:rPr>
          <w:i/>
          <w:iCs/>
          <w:lang w:val="bg-BG" w:eastAsia="en-US"/>
        </w:rPr>
        <w:t>Ciglio</w:t>
      </w:r>
      <w:proofErr w:type="spellEnd"/>
      <w:r w:rsidRPr="00006A07">
        <w:rPr>
          <w:i/>
          <w:iCs/>
          <w:lang w:val="bg-BG" w:eastAsia="en-US"/>
        </w:rPr>
        <w:t xml:space="preserve"> v. </w:t>
      </w:r>
      <w:proofErr w:type="spellStart"/>
      <w:r w:rsidRPr="00006A07">
        <w:rPr>
          <w:i/>
          <w:iCs/>
          <w:lang w:val="bg-BG" w:eastAsia="en-US"/>
        </w:rPr>
        <w:t>Italy</w:t>
      </w:r>
      <w:proofErr w:type="spellEnd"/>
      <w:r w:rsidRPr="00006A07">
        <w:rPr>
          <w:i/>
          <w:iCs/>
          <w:lang w:val="bg-BG" w:eastAsia="en-US"/>
        </w:rPr>
        <w:t xml:space="preserve"> </w:t>
      </w:r>
      <w:r w:rsidRPr="00006A07">
        <w:rPr>
          <w:lang w:val="bg-BG" w:eastAsia="en-US"/>
        </w:rPr>
        <w:t xml:space="preserve">[GC], </w:t>
      </w:r>
      <w:proofErr w:type="spellStart"/>
      <w:r w:rsidRPr="00006A07">
        <w:rPr>
          <w:lang w:val="bg-BG" w:eastAsia="en-US"/>
        </w:rPr>
        <w:t>no</w:t>
      </w:r>
      <w:proofErr w:type="spellEnd"/>
      <w:r w:rsidRPr="00006A07">
        <w:rPr>
          <w:lang w:val="bg-BG" w:eastAsia="en-US"/>
        </w:rPr>
        <w:t>. 32967/96, § 48, ECHR 2002</w:t>
      </w:r>
      <w:r w:rsidRPr="00006A07">
        <w:rPr>
          <w:lang w:val="bg-BG" w:eastAsia="en-US"/>
        </w:rPr>
        <w:noBreakHyphen/>
        <w:t xml:space="preserve">I; </w:t>
      </w:r>
      <w:r w:rsidRPr="00006A07">
        <w:rPr>
          <w:snapToGrid w:val="0"/>
          <w:lang w:val="bg-BG" w:eastAsia="en-US"/>
        </w:rPr>
        <w:t xml:space="preserve">и </w:t>
      </w:r>
      <w:proofErr w:type="spellStart"/>
      <w:r w:rsidRPr="00006A07">
        <w:rPr>
          <w:i/>
          <w:iCs/>
          <w:snapToGrid w:val="0"/>
          <w:lang w:val="bg-BG" w:eastAsia="en-US"/>
        </w:rPr>
        <w:t>Wiater</w:t>
      </w:r>
      <w:proofErr w:type="spellEnd"/>
      <w:r w:rsidRPr="00006A07">
        <w:rPr>
          <w:i/>
          <w:iCs/>
          <w:snapToGrid w:val="0"/>
          <w:lang w:val="bg-BG" w:eastAsia="en-US"/>
        </w:rPr>
        <w:t xml:space="preserve"> v. </w:t>
      </w:r>
      <w:proofErr w:type="spellStart"/>
      <w:r w:rsidRPr="00006A07">
        <w:rPr>
          <w:i/>
          <w:iCs/>
          <w:snapToGrid w:val="0"/>
          <w:lang w:val="bg-BG" w:eastAsia="en-US"/>
        </w:rPr>
        <w:lastRenderedPageBreak/>
        <w:t>Poland</w:t>
      </w:r>
      <w:proofErr w:type="spellEnd"/>
      <w:r w:rsidRPr="00006A07">
        <w:rPr>
          <w:snapToGrid w:val="0"/>
          <w:lang w:val="bg-BG" w:eastAsia="en-US"/>
        </w:rPr>
        <w:t xml:space="preserve"> (</w:t>
      </w:r>
      <w:proofErr w:type="spellStart"/>
      <w:r w:rsidRPr="00006A07">
        <w:rPr>
          <w:snapToGrid w:val="0"/>
          <w:lang w:val="bg-BG" w:eastAsia="en-US"/>
        </w:rPr>
        <w:t>dec</w:t>
      </w:r>
      <w:proofErr w:type="spellEnd"/>
      <w:r w:rsidRPr="00006A07">
        <w:rPr>
          <w:snapToGrid w:val="0"/>
          <w:lang w:val="bg-BG" w:eastAsia="en-US"/>
        </w:rPr>
        <w:t xml:space="preserve">.), </w:t>
      </w:r>
      <w:proofErr w:type="spellStart"/>
      <w:r w:rsidRPr="00006A07">
        <w:rPr>
          <w:snapToGrid w:val="0"/>
          <w:lang w:val="bg-BG" w:eastAsia="en-US"/>
        </w:rPr>
        <w:t>no</w:t>
      </w:r>
      <w:proofErr w:type="spellEnd"/>
      <w:r w:rsidRPr="00006A07">
        <w:rPr>
          <w:snapToGrid w:val="0"/>
          <w:lang w:val="bg-BG" w:eastAsia="en-US"/>
        </w:rPr>
        <w:t xml:space="preserve">. 42290/08, § 33, </w:t>
      </w:r>
      <w:r w:rsidRPr="00006A07">
        <w:rPr>
          <w:lang w:val="bg-BG"/>
        </w:rPr>
        <w:t xml:space="preserve">15 май 2012 г.). Съдът е посочвал преди, че не може да се изключи, че действия и бездействия на държавните власти в сферата на политиката по здравеопазване могат при определени обстоятелства да доведат до ангажиране на отговорността на Държавата по член 2 (вж. </w:t>
      </w:r>
      <w:proofErr w:type="spellStart"/>
      <w:r w:rsidRPr="00006A07">
        <w:rPr>
          <w:i/>
          <w:iCs/>
          <w:lang w:val="bg-BG" w:eastAsia="en-US"/>
        </w:rPr>
        <w:t>Powell</w:t>
      </w:r>
      <w:proofErr w:type="spellEnd"/>
      <w:r w:rsidRPr="00006A07">
        <w:rPr>
          <w:i/>
          <w:iCs/>
          <w:lang w:val="bg-BG" w:eastAsia="en-US"/>
        </w:rPr>
        <w:t xml:space="preserve"> v. </w:t>
      </w:r>
      <w:proofErr w:type="spellStart"/>
      <w:r w:rsidRPr="00006A07">
        <w:rPr>
          <w:i/>
          <w:iCs/>
          <w:lang w:val="bg-BG" w:eastAsia="en-US"/>
        </w:rPr>
        <w:t>the</w:t>
      </w:r>
      <w:proofErr w:type="spellEnd"/>
      <w:r w:rsidRPr="00006A07">
        <w:rPr>
          <w:i/>
          <w:iCs/>
          <w:lang w:val="bg-BG" w:eastAsia="en-US"/>
        </w:rPr>
        <w:t xml:space="preserve"> </w:t>
      </w:r>
      <w:proofErr w:type="spellStart"/>
      <w:r w:rsidRPr="00006A07">
        <w:rPr>
          <w:i/>
          <w:iCs/>
          <w:lang w:val="bg-BG" w:eastAsia="en-US"/>
        </w:rPr>
        <w:t>United</w:t>
      </w:r>
      <w:proofErr w:type="spellEnd"/>
      <w:r w:rsidRPr="00006A07">
        <w:rPr>
          <w:i/>
          <w:iCs/>
          <w:lang w:val="bg-BG" w:eastAsia="en-US"/>
        </w:rPr>
        <w:t xml:space="preserve"> </w:t>
      </w:r>
      <w:proofErr w:type="spellStart"/>
      <w:r w:rsidRPr="00006A07">
        <w:rPr>
          <w:i/>
          <w:iCs/>
          <w:lang w:val="bg-BG" w:eastAsia="en-US"/>
        </w:rPr>
        <w:t>Kingdom</w:t>
      </w:r>
      <w:proofErr w:type="spellEnd"/>
      <w:r w:rsidRPr="00006A07">
        <w:rPr>
          <w:lang w:val="bg-BG" w:eastAsia="en-US"/>
        </w:rPr>
        <w:t xml:space="preserve"> (</w:t>
      </w:r>
      <w:proofErr w:type="spellStart"/>
      <w:r w:rsidRPr="00006A07">
        <w:rPr>
          <w:lang w:val="bg-BG" w:eastAsia="en-US"/>
        </w:rPr>
        <w:t>dec</w:t>
      </w:r>
      <w:proofErr w:type="spellEnd"/>
      <w:r w:rsidRPr="00006A07">
        <w:rPr>
          <w:lang w:val="bg-BG" w:eastAsia="en-US"/>
        </w:rPr>
        <w:t xml:space="preserve">.), </w:t>
      </w:r>
      <w:proofErr w:type="spellStart"/>
      <w:r w:rsidRPr="00006A07">
        <w:rPr>
          <w:lang w:val="bg-BG" w:eastAsia="en-US"/>
        </w:rPr>
        <w:t>no</w:t>
      </w:r>
      <w:proofErr w:type="spellEnd"/>
      <w:r w:rsidRPr="00006A07">
        <w:rPr>
          <w:lang w:val="bg-BG" w:eastAsia="en-US"/>
        </w:rPr>
        <w:t>. 45305/99, ECHR 2000</w:t>
      </w:r>
      <w:r w:rsidRPr="00006A07">
        <w:rPr>
          <w:lang w:val="bg-BG" w:eastAsia="en-US"/>
        </w:rPr>
        <w:noBreakHyphen/>
        <w:t xml:space="preserve">V; </w:t>
      </w:r>
      <w:proofErr w:type="spellStart"/>
      <w:r w:rsidRPr="00006A07">
        <w:rPr>
          <w:i/>
          <w:iCs/>
          <w:lang w:val="bg-BG" w:eastAsia="en-US"/>
        </w:rPr>
        <w:t>Nitecki</w:t>
      </w:r>
      <w:proofErr w:type="spellEnd"/>
      <w:r w:rsidRPr="00006A07">
        <w:rPr>
          <w:i/>
          <w:iCs/>
          <w:lang w:val="bg-BG" w:eastAsia="en-US"/>
        </w:rPr>
        <w:t xml:space="preserve"> v. </w:t>
      </w:r>
      <w:proofErr w:type="spellStart"/>
      <w:r w:rsidRPr="00006A07">
        <w:rPr>
          <w:i/>
          <w:iCs/>
          <w:lang w:val="bg-BG" w:eastAsia="en-US"/>
        </w:rPr>
        <w:t>Poland</w:t>
      </w:r>
      <w:proofErr w:type="spellEnd"/>
      <w:r w:rsidRPr="00006A07">
        <w:rPr>
          <w:lang w:val="bg-BG" w:eastAsia="en-US"/>
        </w:rPr>
        <w:t xml:space="preserve"> (</w:t>
      </w:r>
      <w:proofErr w:type="spellStart"/>
      <w:r w:rsidRPr="00006A07">
        <w:rPr>
          <w:lang w:val="bg-BG" w:eastAsia="en-US"/>
        </w:rPr>
        <w:t>dec</w:t>
      </w:r>
      <w:proofErr w:type="spellEnd"/>
      <w:r w:rsidRPr="00006A07">
        <w:rPr>
          <w:lang w:val="bg-BG" w:eastAsia="en-US"/>
        </w:rPr>
        <w:t xml:space="preserve">.), </w:t>
      </w:r>
      <w:proofErr w:type="spellStart"/>
      <w:r w:rsidRPr="00006A07">
        <w:rPr>
          <w:lang w:val="bg-BG" w:eastAsia="en-US"/>
        </w:rPr>
        <w:t>no</w:t>
      </w:r>
      <w:proofErr w:type="spellEnd"/>
      <w:r w:rsidRPr="00006A07">
        <w:rPr>
          <w:lang w:val="bg-BG" w:eastAsia="en-US"/>
        </w:rPr>
        <w:t xml:space="preserve">. 65653/01, 21 март 2002 г.; </w:t>
      </w:r>
      <w:proofErr w:type="spellStart"/>
      <w:r w:rsidRPr="00006A07">
        <w:rPr>
          <w:i/>
          <w:iCs/>
          <w:lang w:val="bg-BG" w:eastAsia="en-US"/>
        </w:rPr>
        <w:t>Trzepałko</w:t>
      </w:r>
      <w:proofErr w:type="spellEnd"/>
      <w:r w:rsidRPr="00006A07">
        <w:rPr>
          <w:i/>
          <w:iCs/>
          <w:lang w:val="bg-BG" w:eastAsia="en-US"/>
        </w:rPr>
        <w:t xml:space="preserve"> v. </w:t>
      </w:r>
      <w:proofErr w:type="spellStart"/>
      <w:r w:rsidRPr="00006A07">
        <w:rPr>
          <w:i/>
          <w:iCs/>
          <w:lang w:val="bg-BG" w:eastAsia="en-US"/>
        </w:rPr>
        <w:t>Poland</w:t>
      </w:r>
      <w:proofErr w:type="spellEnd"/>
      <w:r w:rsidRPr="00006A07">
        <w:rPr>
          <w:lang w:val="bg-BG" w:eastAsia="en-US"/>
        </w:rPr>
        <w:t xml:space="preserve"> (</w:t>
      </w:r>
      <w:proofErr w:type="spellStart"/>
      <w:r w:rsidRPr="00006A07">
        <w:rPr>
          <w:lang w:val="bg-BG" w:eastAsia="en-US"/>
        </w:rPr>
        <w:t>dec</w:t>
      </w:r>
      <w:proofErr w:type="spellEnd"/>
      <w:r w:rsidRPr="00006A07">
        <w:rPr>
          <w:lang w:val="bg-BG" w:eastAsia="en-US"/>
        </w:rPr>
        <w:t xml:space="preserve">.), </w:t>
      </w:r>
      <w:proofErr w:type="spellStart"/>
      <w:r w:rsidRPr="00006A07">
        <w:rPr>
          <w:lang w:val="bg-BG" w:eastAsia="en-US"/>
        </w:rPr>
        <w:t>no</w:t>
      </w:r>
      <w:proofErr w:type="spellEnd"/>
      <w:r w:rsidRPr="00006A07">
        <w:rPr>
          <w:lang w:val="bg-BG" w:eastAsia="en-US"/>
        </w:rPr>
        <w:t xml:space="preserve">. 25124/09, § 23, 13 септември 2011 г.; и </w:t>
      </w:r>
      <w:proofErr w:type="spellStart"/>
      <w:r w:rsidRPr="00006A07">
        <w:rPr>
          <w:i/>
          <w:iCs/>
          <w:snapToGrid w:val="0"/>
          <w:lang w:val="bg-BG" w:eastAsia="en-US"/>
        </w:rPr>
        <w:t>Wiater</w:t>
      </w:r>
      <w:proofErr w:type="spellEnd"/>
      <w:r w:rsidRPr="00006A07">
        <w:rPr>
          <w:snapToGrid w:val="0"/>
          <w:lang w:val="bg-BG" w:eastAsia="en-US"/>
        </w:rPr>
        <w:t>, цитирано по-горе, § 34</w:t>
      </w:r>
      <w:r w:rsidRPr="00006A07">
        <w:rPr>
          <w:lang w:val="bg-BG" w:eastAsia="en-US"/>
        </w:rPr>
        <w:t xml:space="preserve">). Той също така е отбелязвал, че по отношение на обхвата на позитивните задължения на Държавата при предоставянето на здравно обслужване, може да възникне спорен въпрос по член 2, когато бъде доказано, че държавните власти са поставили живота на определено лице в риск чрез отказа на здравно обслужване, което те са задължени да предоставят на населението като цяло (вж. </w:t>
      </w:r>
      <w:proofErr w:type="spellStart"/>
      <w:r w:rsidRPr="00006A07">
        <w:rPr>
          <w:i/>
          <w:iCs/>
          <w:lang w:val="bg-BG" w:eastAsia="en-US"/>
        </w:rPr>
        <w:t>Cyprus</w:t>
      </w:r>
      <w:proofErr w:type="spellEnd"/>
      <w:r w:rsidRPr="00006A07">
        <w:rPr>
          <w:i/>
          <w:iCs/>
          <w:lang w:val="bg-BG" w:eastAsia="en-US"/>
        </w:rPr>
        <w:t xml:space="preserve"> v. </w:t>
      </w:r>
      <w:proofErr w:type="spellStart"/>
      <w:r w:rsidRPr="00006A07">
        <w:rPr>
          <w:i/>
          <w:iCs/>
          <w:lang w:val="bg-BG" w:eastAsia="en-US"/>
        </w:rPr>
        <w:t>Turkey</w:t>
      </w:r>
      <w:proofErr w:type="spellEnd"/>
      <w:r w:rsidRPr="00006A07">
        <w:rPr>
          <w:lang w:val="bg-BG" w:eastAsia="en-US"/>
        </w:rPr>
        <w:t xml:space="preserve"> [GC], </w:t>
      </w:r>
      <w:proofErr w:type="spellStart"/>
      <w:r w:rsidRPr="00006A07">
        <w:rPr>
          <w:lang w:val="bg-BG" w:eastAsia="en-US"/>
        </w:rPr>
        <w:t>no</w:t>
      </w:r>
      <w:proofErr w:type="spellEnd"/>
      <w:r w:rsidRPr="00006A07">
        <w:rPr>
          <w:lang w:val="bg-BG" w:eastAsia="en-US"/>
        </w:rPr>
        <w:t>. 25781/94, § 219, ECHR 2001</w:t>
      </w:r>
      <w:r w:rsidRPr="00006A07">
        <w:rPr>
          <w:lang w:val="bg-BG" w:eastAsia="en-US"/>
        </w:rPr>
        <w:noBreakHyphen/>
        <w:t xml:space="preserve">IV; </w:t>
      </w:r>
      <w:proofErr w:type="spellStart"/>
      <w:r w:rsidRPr="00006A07">
        <w:rPr>
          <w:i/>
          <w:iCs/>
          <w:lang w:val="bg-BG" w:eastAsia="en-US"/>
        </w:rPr>
        <w:t>Nitecki</w:t>
      </w:r>
      <w:proofErr w:type="spellEnd"/>
      <w:r w:rsidRPr="00006A07">
        <w:rPr>
          <w:lang w:val="bg-BG" w:eastAsia="en-US"/>
        </w:rPr>
        <w:t xml:space="preserve">, цитирано по-горе; </w:t>
      </w:r>
      <w:proofErr w:type="spellStart"/>
      <w:r w:rsidRPr="00006A07">
        <w:rPr>
          <w:i/>
          <w:iCs/>
          <w:lang w:val="bg-BG" w:eastAsia="en-US"/>
        </w:rPr>
        <w:t>Pentiacova</w:t>
      </w:r>
      <w:proofErr w:type="spellEnd"/>
      <w:r w:rsidRPr="00006A07">
        <w:rPr>
          <w:i/>
          <w:iCs/>
          <w:lang w:val="bg-BG" w:eastAsia="en-US"/>
        </w:rPr>
        <w:t xml:space="preserve"> </w:t>
      </w:r>
      <w:proofErr w:type="spellStart"/>
      <w:r w:rsidRPr="00006A07">
        <w:rPr>
          <w:i/>
          <w:iCs/>
          <w:lang w:val="bg-BG" w:eastAsia="en-US"/>
        </w:rPr>
        <w:t>and</w:t>
      </w:r>
      <w:proofErr w:type="spellEnd"/>
      <w:r w:rsidRPr="00006A07">
        <w:rPr>
          <w:i/>
          <w:iCs/>
          <w:lang w:val="bg-BG" w:eastAsia="en-US"/>
        </w:rPr>
        <w:t xml:space="preserve"> </w:t>
      </w:r>
      <w:proofErr w:type="spellStart"/>
      <w:r w:rsidRPr="00006A07">
        <w:rPr>
          <w:i/>
          <w:iCs/>
          <w:lang w:val="bg-BG" w:eastAsia="en-US"/>
        </w:rPr>
        <w:t>Others</w:t>
      </w:r>
      <w:proofErr w:type="spellEnd"/>
      <w:r w:rsidRPr="00006A07">
        <w:rPr>
          <w:i/>
          <w:iCs/>
          <w:lang w:val="bg-BG" w:eastAsia="en-US"/>
        </w:rPr>
        <w:t xml:space="preserve"> v. </w:t>
      </w:r>
      <w:proofErr w:type="spellStart"/>
      <w:r w:rsidRPr="00006A07">
        <w:rPr>
          <w:i/>
          <w:iCs/>
          <w:lang w:val="bg-BG" w:eastAsia="en-US"/>
        </w:rPr>
        <w:t>Moldova</w:t>
      </w:r>
      <w:proofErr w:type="spellEnd"/>
      <w:r w:rsidRPr="00006A07">
        <w:rPr>
          <w:i/>
          <w:iCs/>
          <w:lang w:val="bg-BG" w:eastAsia="en-US"/>
        </w:rPr>
        <w:t xml:space="preserve"> </w:t>
      </w:r>
      <w:r w:rsidRPr="00006A07">
        <w:rPr>
          <w:lang w:val="bg-BG" w:eastAsia="en-US"/>
        </w:rPr>
        <w:t>(</w:t>
      </w:r>
      <w:proofErr w:type="spellStart"/>
      <w:r w:rsidRPr="00006A07">
        <w:rPr>
          <w:lang w:val="bg-BG" w:eastAsia="en-US"/>
        </w:rPr>
        <w:t>dec</w:t>
      </w:r>
      <w:proofErr w:type="spellEnd"/>
      <w:r w:rsidRPr="00006A07">
        <w:rPr>
          <w:lang w:val="bg-BG" w:eastAsia="en-US"/>
        </w:rPr>
        <w:t xml:space="preserve">.), </w:t>
      </w:r>
      <w:proofErr w:type="spellStart"/>
      <w:r w:rsidRPr="00006A07">
        <w:rPr>
          <w:lang w:val="bg-BG" w:eastAsia="en-US"/>
        </w:rPr>
        <w:t>no</w:t>
      </w:r>
      <w:proofErr w:type="spellEnd"/>
      <w:r w:rsidRPr="00006A07">
        <w:rPr>
          <w:lang w:val="bg-BG" w:eastAsia="en-US"/>
        </w:rPr>
        <w:t>. 14462/03, ECHR 2005</w:t>
      </w:r>
      <w:r w:rsidRPr="00006A07">
        <w:rPr>
          <w:lang w:val="bg-BG" w:eastAsia="en-US"/>
        </w:rPr>
        <w:noBreakHyphen/>
        <w:t xml:space="preserve">I; </w:t>
      </w:r>
      <w:proofErr w:type="spellStart"/>
      <w:r w:rsidRPr="00006A07">
        <w:rPr>
          <w:i/>
          <w:iCs/>
          <w:lang w:val="bg-BG" w:eastAsia="en-US"/>
        </w:rPr>
        <w:t>Gheorghe</w:t>
      </w:r>
      <w:proofErr w:type="spellEnd"/>
      <w:r w:rsidRPr="00006A07">
        <w:rPr>
          <w:i/>
          <w:iCs/>
          <w:lang w:val="bg-BG" w:eastAsia="en-US"/>
        </w:rPr>
        <w:t xml:space="preserve"> v. </w:t>
      </w:r>
      <w:proofErr w:type="spellStart"/>
      <w:r w:rsidRPr="00006A07">
        <w:rPr>
          <w:i/>
          <w:iCs/>
          <w:lang w:val="bg-BG" w:eastAsia="en-US"/>
        </w:rPr>
        <w:t>Romania</w:t>
      </w:r>
      <w:proofErr w:type="spellEnd"/>
      <w:r w:rsidRPr="00006A07">
        <w:rPr>
          <w:lang w:val="bg-BG" w:eastAsia="en-US"/>
        </w:rPr>
        <w:t xml:space="preserve"> (</w:t>
      </w:r>
      <w:proofErr w:type="spellStart"/>
      <w:r w:rsidRPr="00006A07">
        <w:rPr>
          <w:lang w:val="bg-BG" w:eastAsia="en-US"/>
        </w:rPr>
        <w:t>dec</w:t>
      </w:r>
      <w:proofErr w:type="spellEnd"/>
      <w:r w:rsidRPr="00006A07">
        <w:rPr>
          <w:lang w:val="bg-BG" w:eastAsia="en-US"/>
        </w:rPr>
        <w:t xml:space="preserve">.), </w:t>
      </w:r>
      <w:proofErr w:type="spellStart"/>
      <w:r w:rsidRPr="00006A07">
        <w:rPr>
          <w:lang w:val="bg-BG" w:eastAsia="en-US"/>
        </w:rPr>
        <w:t>no</w:t>
      </w:r>
      <w:proofErr w:type="spellEnd"/>
      <w:r w:rsidRPr="00006A07">
        <w:rPr>
          <w:lang w:val="bg-BG" w:eastAsia="en-US"/>
        </w:rPr>
        <w:t xml:space="preserve">. 19215/04, 22 септември 2005 г.; и </w:t>
      </w:r>
      <w:proofErr w:type="spellStart"/>
      <w:r w:rsidRPr="00006A07">
        <w:rPr>
          <w:i/>
          <w:iCs/>
          <w:snapToGrid w:val="0"/>
          <w:lang w:val="bg-BG" w:eastAsia="en-US"/>
        </w:rPr>
        <w:t>Wiater</w:t>
      </w:r>
      <w:proofErr w:type="spellEnd"/>
      <w:r w:rsidRPr="00006A07">
        <w:rPr>
          <w:snapToGrid w:val="0"/>
          <w:lang w:val="bg-BG" w:eastAsia="en-US"/>
        </w:rPr>
        <w:t>, цитирано по-горе, § 35).</w:t>
      </w:r>
    </w:p>
    <w:p w:rsidR="0095532B" w:rsidRPr="00006A07" w:rsidRDefault="0095532B" w:rsidP="008D7A78">
      <w:pPr>
        <w:pStyle w:val="JuPara"/>
        <w:rPr>
          <w:lang w:val="bg-BG" w:eastAsia="en-US"/>
        </w:rPr>
      </w:pPr>
      <w:r w:rsidRPr="00006A07">
        <w:rPr>
          <w:lang w:val="bg-BG"/>
        </w:rPr>
        <w:fldChar w:fldCharType="begin"/>
      </w:r>
      <w:r w:rsidRPr="00006A07">
        <w:rPr>
          <w:lang w:val="bg-BG"/>
        </w:rPr>
        <w:instrText xml:space="preserve"> SEQ level0 \*arabic </w:instrText>
      </w:r>
      <w:r w:rsidRPr="00006A07">
        <w:rPr>
          <w:lang w:val="bg-BG"/>
        </w:rPr>
        <w:fldChar w:fldCharType="separate"/>
      </w:r>
      <w:r w:rsidRPr="00006A07">
        <w:rPr>
          <w:noProof/>
          <w:lang w:val="bg-BG"/>
        </w:rPr>
        <w:t>107</w:t>
      </w:r>
      <w:r w:rsidRPr="00006A07">
        <w:rPr>
          <w:lang w:val="bg-BG"/>
        </w:rPr>
        <w:fldChar w:fldCharType="end"/>
      </w:r>
      <w:r w:rsidRPr="00006A07">
        <w:rPr>
          <w:lang w:val="bg-BG"/>
        </w:rPr>
        <w:t>.  В настоящия случай не се твърди, че на</w:t>
      </w:r>
      <w:r w:rsidRPr="00006A07">
        <w:rPr>
          <w:lang w:val="bg-BG" w:eastAsia="en-US"/>
        </w:rPr>
        <w:t xml:space="preserve"> жалбоподателите е отказано здравно обслужване, което по принцип е общо достъпно в България. Жалбоподателите не твърдят, че Държавата следва да плати за определена форма на конвенционално лечение, тъй като те нямат възможност да покрият разходите си (за разлика от това </w:t>
      </w:r>
      <w:proofErr w:type="spellStart"/>
      <w:r w:rsidRPr="00006A07">
        <w:rPr>
          <w:i/>
          <w:iCs/>
          <w:lang w:val="bg-BG" w:eastAsia="en-US"/>
        </w:rPr>
        <w:t>Nitecki</w:t>
      </w:r>
      <w:proofErr w:type="spellEnd"/>
      <w:r w:rsidRPr="00006A07">
        <w:rPr>
          <w:lang w:val="bg-BG" w:eastAsia="en-US"/>
        </w:rPr>
        <w:t>,</w:t>
      </w:r>
      <w:r w:rsidRPr="00006A07">
        <w:rPr>
          <w:i/>
          <w:iCs/>
          <w:lang w:val="bg-BG" w:eastAsia="en-US"/>
        </w:rPr>
        <w:t xml:space="preserve"> </w:t>
      </w:r>
      <w:proofErr w:type="spellStart"/>
      <w:r w:rsidRPr="00006A07">
        <w:rPr>
          <w:i/>
          <w:iCs/>
          <w:lang w:val="bg-BG" w:eastAsia="en-US"/>
        </w:rPr>
        <w:t>Pentiacova</w:t>
      </w:r>
      <w:proofErr w:type="spellEnd"/>
      <w:r w:rsidRPr="00006A07">
        <w:rPr>
          <w:i/>
          <w:iCs/>
          <w:lang w:val="bg-BG" w:eastAsia="en-US"/>
        </w:rPr>
        <w:t xml:space="preserve"> </w:t>
      </w:r>
      <w:proofErr w:type="spellStart"/>
      <w:r w:rsidRPr="00006A07">
        <w:rPr>
          <w:i/>
          <w:iCs/>
          <w:lang w:val="bg-BG" w:eastAsia="en-US"/>
        </w:rPr>
        <w:t>and</w:t>
      </w:r>
      <w:proofErr w:type="spellEnd"/>
      <w:r w:rsidRPr="00006A07">
        <w:rPr>
          <w:i/>
          <w:iCs/>
          <w:lang w:val="bg-BG" w:eastAsia="en-US"/>
        </w:rPr>
        <w:t xml:space="preserve"> </w:t>
      </w:r>
      <w:proofErr w:type="spellStart"/>
      <w:r w:rsidRPr="00006A07">
        <w:rPr>
          <w:i/>
          <w:iCs/>
          <w:lang w:val="bg-BG" w:eastAsia="en-US"/>
        </w:rPr>
        <w:t>Others</w:t>
      </w:r>
      <w:proofErr w:type="spellEnd"/>
      <w:r w:rsidRPr="00006A07">
        <w:rPr>
          <w:lang w:val="bg-BG" w:eastAsia="en-US"/>
        </w:rPr>
        <w:t xml:space="preserve">, </w:t>
      </w:r>
      <w:proofErr w:type="spellStart"/>
      <w:r w:rsidRPr="00006A07">
        <w:rPr>
          <w:i/>
          <w:iCs/>
          <w:lang w:val="bg-BG" w:eastAsia="en-US"/>
        </w:rPr>
        <w:t>Gheorghe</w:t>
      </w:r>
      <w:proofErr w:type="spellEnd"/>
      <w:r w:rsidRPr="00006A07">
        <w:rPr>
          <w:snapToGrid w:val="0"/>
          <w:lang w:val="bg-BG" w:eastAsia="en-US"/>
        </w:rPr>
        <w:t xml:space="preserve">, и </w:t>
      </w:r>
      <w:proofErr w:type="spellStart"/>
      <w:r w:rsidRPr="00006A07">
        <w:rPr>
          <w:i/>
          <w:iCs/>
          <w:snapToGrid w:val="0"/>
          <w:lang w:val="bg-BG" w:eastAsia="en-US"/>
        </w:rPr>
        <w:t>Wiater</w:t>
      </w:r>
      <w:proofErr w:type="spellEnd"/>
      <w:r w:rsidRPr="00006A07">
        <w:rPr>
          <w:snapToGrid w:val="0"/>
          <w:lang w:val="bg-BG" w:eastAsia="en-US"/>
        </w:rPr>
        <w:t xml:space="preserve">, всички цитирани </w:t>
      </w:r>
      <w:r w:rsidRPr="00006A07">
        <w:rPr>
          <w:lang w:val="bg-BG" w:eastAsia="en-US"/>
        </w:rPr>
        <w:t>по-горе). Претенцията на жалбоподателите всъщност е, че тъй като конвенционалните лечения не са подействали в техните случаи, националното право би следвало да бъде формулирано по начин, който да им дава право по изключение да получат достъп до експериментален и все още неизпитан продукт, който би бил предоставен безплатно от дружеството, което го разработва.</w:t>
      </w:r>
    </w:p>
    <w:p w:rsidR="0095532B" w:rsidRPr="00006A07" w:rsidRDefault="0095532B" w:rsidP="008D7A78">
      <w:pPr>
        <w:pStyle w:val="JuPara"/>
        <w:rPr>
          <w:lang w:val="bg-BG"/>
        </w:rPr>
      </w:pPr>
      <w:r w:rsidRPr="00006A07">
        <w:rPr>
          <w:lang w:val="bg-BG" w:eastAsia="en-US"/>
        </w:rPr>
        <w:fldChar w:fldCharType="begin"/>
      </w:r>
      <w:r w:rsidRPr="00006A07">
        <w:rPr>
          <w:lang w:val="bg-BG" w:eastAsia="en-US"/>
        </w:rPr>
        <w:instrText xml:space="preserve"> SEQ level0 \*arabic </w:instrText>
      </w:r>
      <w:r w:rsidRPr="00006A07">
        <w:rPr>
          <w:lang w:val="bg-BG" w:eastAsia="en-US"/>
        </w:rPr>
        <w:fldChar w:fldCharType="separate"/>
      </w:r>
      <w:r w:rsidRPr="00006A07">
        <w:rPr>
          <w:noProof/>
          <w:lang w:val="bg-BG" w:eastAsia="en-US"/>
        </w:rPr>
        <w:t>108</w:t>
      </w:r>
      <w:r w:rsidRPr="00006A07">
        <w:rPr>
          <w:lang w:val="bg-BG" w:eastAsia="en-US"/>
        </w:rPr>
        <w:fldChar w:fldCharType="end"/>
      </w:r>
      <w:r w:rsidRPr="00006A07">
        <w:rPr>
          <w:lang w:val="bg-BG" w:eastAsia="en-US"/>
        </w:rPr>
        <w:t xml:space="preserve">.  Действително, позитивните задължения по член 2 могат да включват задължението да се въведе подходяща правна рамка, например уредба, задължаваща болниците да приемат подходящи мерки за защитата на живота на техните пациенти (вж. </w:t>
      </w:r>
      <w:proofErr w:type="spellStart"/>
      <w:r w:rsidRPr="00006A07">
        <w:rPr>
          <w:i/>
          <w:iCs/>
          <w:lang w:val="bg-BG" w:eastAsia="en-US"/>
        </w:rPr>
        <w:t>Calvelli</w:t>
      </w:r>
      <w:proofErr w:type="spellEnd"/>
      <w:r w:rsidRPr="00006A07">
        <w:rPr>
          <w:i/>
          <w:iCs/>
          <w:lang w:val="bg-BG" w:eastAsia="en-US"/>
        </w:rPr>
        <w:t xml:space="preserve"> </w:t>
      </w:r>
      <w:proofErr w:type="spellStart"/>
      <w:r w:rsidRPr="00006A07">
        <w:rPr>
          <w:i/>
          <w:iCs/>
          <w:lang w:val="bg-BG" w:eastAsia="en-US"/>
        </w:rPr>
        <w:t>and</w:t>
      </w:r>
      <w:proofErr w:type="spellEnd"/>
      <w:r w:rsidRPr="00006A07">
        <w:rPr>
          <w:i/>
          <w:iCs/>
          <w:lang w:val="bg-BG" w:eastAsia="en-US"/>
        </w:rPr>
        <w:t xml:space="preserve"> </w:t>
      </w:r>
      <w:proofErr w:type="spellStart"/>
      <w:r w:rsidRPr="00006A07">
        <w:rPr>
          <w:i/>
          <w:iCs/>
          <w:lang w:val="bg-BG" w:eastAsia="en-US"/>
        </w:rPr>
        <w:t>Ciglio</w:t>
      </w:r>
      <w:proofErr w:type="spellEnd"/>
      <w:r w:rsidRPr="00006A07">
        <w:rPr>
          <w:lang w:val="bg-BG" w:eastAsia="en-US"/>
        </w:rPr>
        <w:t xml:space="preserve">, цитирано по-горе, § 49), или уредба на опасните индустриални дейности (вж. </w:t>
      </w:r>
      <w:proofErr w:type="spellStart"/>
      <w:r w:rsidRPr="00006A07">
        <w:rPr>
          <w:i/>
          <w:iCs/>
          <w:lang w:val="bg-BG" w:eastAsia="en-US"/>
        </w:rPr>
        <w:t>Öneryıldız</w:t>
      </w:r>
      <w:proofErr w:type="spellEnd"/>
      <w:r w:rsidRPr="00006A07">
        <w:rPr>
          <w:i/>
          <w:iCs/>
          <w:lang w:val="bg-BG" w:eastAsia="en-US"/>
        </w:rPr>
        <w:t xml:space="preserve"> v. </w:t>
      </w:r>
      <w:proofErr w:type="spellStart"/>
      <w:r w:rsidRPr="00006A07">
        <w:rPr>
          <w:i/>
          <w:iCs/>
          <w:lang w:val="bg-BG" w:eastAsia="en-US"/>
        </w:rPr>
        <w:t>Turkey</w:t>
      </w:r>
      <w:proofErr w:type="spellEnd"/>
      <w:r w:rsidRPr="00006A07">
        <w:rPr>
          <w:i/>
          <w:iCs/>
          <w:lang w:val="bg-BG" w:eastAsia="en-US"/>
        </w:rPr>
        <w:t xml:space="preserve"> </w:t>
      </w:r>
      <w:r w:rsidRPr="00006A07">
        <w:rPr>
          <w:lang w:val="bg-BG" w:eastAsia="en-US"/>
        </w:rPr>
        <w:t xml:space="preserve">[GC], </w:t>
      </w:r>
      <w:proofErr w:type="spellStart"/>
      <w:r w:rsidRPr="00006A07">
        <w:rPr>
          <w:lang w:val="bg-BG" w:eastAsia="en-US"/>
        </w:rPr>
        <w:t>no</w:t>
      </w:r>
      <w:proofErr w:type="spellEnd"/>
      <w:r w:rsidRPr="00006A07">
        <w:rPr>
          <w:lang w:val="bg-BG" w:eastAsia="en-US"/>
        </w:rPr>
        <w:t>. 48939/99, § 90, ECHR 2004</w:t>
      </w:r>
      <w:r w:rsidRPr="00006A07">
        <w:rPr>
          <w:lang w:val="bg-BG" w:eastAsia="en-US"/>
        </w:rPr>
        <w:noBreakHyphen/>
        <w:t xml:space="preserve">XII). Независимо от това, не може да се каже, че България няма уредба, която регулира достъпа до неразрешени за употреба лекарствени продукти за случаи, когато конвенционалните форми на медицинско лечение се оказват недостатъчни – такава уредба съществува и наскоро е актуализирана (вж. параграфи </w:t>
      </w:r>
      <w:r w:rsidRPr="00006A07">
        <w:rPr>
          <w:lang w:val="bg-BG" w:eastAsia="en-US"/>
        </w:rPr>
        <w:fldChar w:fldCharType="begin"/>
      </w:r>
      <w:r w:rsidRPr="00006A07">
        <w:rPr>
          <w:lang w:val="bg-BG" w:eastAsia="en-US"/>
        </w:rPr>
        <w:instrText xml:space="preserve"> REF RDL_2007_Act_sections_8_10_11 \h </w:instrText>
      </w:r>
      <w:r w:rsidRPr="00006A07">
        <w:rPr>
          <w:lang w:val="bg-BG" w:eastAsia="en-US"/>
        </w:rPr>
      </w:r>
      <w:r w:rsidRPr="00006A07">
        <w:rPr>
          <w:lang w:val="bg-BG" w:eastAsia="en-US"/>
        </w:rPr>
        <w:fldChar w:fldCharType="separate"/>
      </w:r>
      <w:r w:rsidRPr="00006A07">
        <w:rPr>
          <w:noProof/>
          <w:lang w:val="bg-BG"/>
        </w:rPr>
        <w:t>23</w:t>
      </w:r>
      <w:r w:rsidRPr="00006A07">
        <w:rPr>
          <w:lang w:val="bg-BG" w:eastAsia="en-US"/>
        </w:rPr>
        <w:fldChar w:fldCharType="end"/>
      </w:r>
      <w:r w:rsidRPr="00006A07">
        <w:rPr>
          <w:lang w:val="bg-BG" w:eastAsia="en-US"/>
        </w:rPr>
        <w:t xml:space="preserve"> </w:t>
      </w:r>
      <w:r w:rsidRPr="00006A07">
        <w:rPr>
          <w:lang w:val="bg-BG" w:eastAsia="en-US"/>
        </w:rPr>
        <w:noBreakHyphen/>
        <w:t xml:space="preserve"> </w:t>
      </w:r>
      <w:r w:rsidRPr="00006A07">
        <w:rPr>
          <w:lang w:val="bg-BG" w:eastAsia="en-US"/>
        </w:rPr>
        <w:fldChar w:fldCharType="begin"/>
      </w:r>
      <w:r w:rsidRPr="00006A07">
        <w:rPr>
          <w:lang w:val="bg-BG" w:eastAsia="en-US"/>
        </w:rPr>
        <w:instrText xml:space="preserve"> REF RDL_Regulations_10_procedure \h </w:instrText>
      </w:r>
      <w:r w:rsidRPr="00006A07">
        <w:rPr>
          <w:lang w:val="bg-BG" w:eastAsia="en-US"/>
        </w:rPr>
      </w:r>
      <w:r w:rsidRPr="00006A07">
        <w:rPr>
          <w:lang w:val="bg-BG" w:eastAsia="en-US"/>
        </w:rPr>
        <w:fldChar w:fldCharType="separate"/>
      </w:r>
      <w:r w:rsidRPr="00006A07">
        <w:rPr>
          <w:noProof/>
          <w:lang w:val="bg-BG"/>
        </w:rPr>
        <w:t>32</w:t>
      </w:r>
      <w:r w:rsidRPr="00006A07">
        <w:rPr>
          <w:lang w:val="bg-BG" w:eastAsia="en-US"/>
        </w:rPr>
        <w:fldChar w:fldCharType="end"/>
      </w:r>
      <w:r w:rsidRPr="00006A07">
        <w:rPr>
          <w:lang w:val="bg-BG" w:eastAsia="en-US"/>
        </w:rPr>
        <w:t xml:space="preserve"> по-горе). Жалбоподателите по-скоро оспорват условията на тази уредба, като твърдят, че тя е прекалено ограничаваща. По мнение на Съда обаче, </w:t>
      </w:r>
      <w:r w:rsidRPr="00006A07">
        <w:rPr>
          <w:lang w:val="bg-BG"/>
        </w:rPr>
        <w:t xml:space="preserve">член 2 от Конвенцията не може да бъде тълкуван като изискващ </w:t>
      </w:r>
      <w:r w:rsidRPr="00006A07">
        <w:rPr>
          <w:lang w:val="bg-BG"/>
        </w:rPr>
        <w:lastRenderedPageBreak/>
        <w:t xml:space="preserve">достъпът до неразрешени за употреба лекарствени продукти за терминално болните да бъде уреден по определен начин. В тази връзка  следва да се отбележи, че в Европейския съюз този въпрос остава в рамките на компетентността на държавите членки (вж. параграфи </w:t>
      </w:r>
      <w:r w:rsidRPr="00006A07">
        <w:rPr>
          <w:snapToGrid w:val="0"/>
          <w:lang w:val="bg-BG" w:eastAsia="en-US"/>
        </w:rPr>
        <w:fldChar w:fldCharType="begin"/>
      </w:r>
      <w:r w:rsidRPr="00006A07">
        <w:rPr>
          <w:snapToGrid w:val="0"/>
          <w:lang w:val="bg-BG" w:eastAsia="en-US"/>
        </w:rPr>
        <w:instrText xml:space="preserve"> REF REUL_Directive_2001_83_EC_Article_5 \h </w:instrText>
      </w:r>
      <w:r w:rsidRPr="00006A07">
        <w:rPr>
          <w:snapToGrid w:val="0"/>
          <w:lang w:val="bg-BG" w:eastAsia="en-US"/>
        </w:rPr>
      </w:r>
      <w:r w:rsidRPr="00006A07">
        <w:rPr>
          <w:snapToGrid w:val="0"/>
          <w:lang w:val="bg-BG" w:eastAsia="en-US"/>
        </w:rPr>
        <w:fldChar w:fldCharType="separate"/>
      </w:r>
      <w:r w:rsidRPr="00006A07">
        <w:rPr>
          <w:noProof/>
          <w:lang w:val="bg-BG"/>
        </w:rPr>
        <w:t>45</w:t>
      </w:r>
      <w:r w:rsidRPr="00006A07">
        <w:rPr>
          <w:snapToGrid w:val="0"/>
          <w:lang w:val="bg-BG" w:eastAsia="en-US"/>
        </w:rPr>
        <w:fldChar w:fldCharType="end"/>
      </w:r>
      <w:r w:rsidRPr="00006A07">
        <w:rPr>
          <w:snapToGrid w:val="0"/>
          <w:lang w:val="bg-BG" w:eastAsia="en-US"/>
        </w:rPr>
        <w:t xml:space="preserve"> </w:t>
      </w:r>
      <w:r w:rsidRPr="00006A07">
        <w:rPr>
          <w:snapToGrid w:val="0"/>
          <w:lang w:val="bg-BG" w:eastAsia="en-US"/>
        </w:rPr>
        <w:noBreakHyphen/>
        <w:t xml:space="preserve"> </w:t>
      </w:r>
      <w:r w:rsidRPr="00006A07">
        <w:rPr>
          <w:snapToGrid w:val="0"/>
          <w:lang w:val="bg-BG" w:eastAsia="en-US"/>
        </w:rPr>
        <w:fldChar w:fldCharType="begin"/>
      </w:r>
      <w:r w:rsidRPr="00006A07">
        <w:rPr>
          <w:snapToGrid w:val="0"/>
          <w:lang w:val="bg-BG" w:eastAsia="en-US"/>
        </w:rPr>
        <w:instrText xml:space="preserve"> REF REUL_Regulation_726_2004_Article_83_gln \h </w:instrText>
      </w:r>
      <w:r w:rsidRPr="00006A07">
        <w:rPr>
          <w:snapToGrid w:val="0"/>
          <w:lang w:val="bg-BG" w:eastAsia="en-US"/>
        </w:rPr>
      </w:r>
      <w:r w:rsidRPr="00006A07">
        <w:rPr>
          <w:snapToGrid w:val="0"/>
          <w:lang w:val="bg-BG" w:eastAsia="en-US"/>
        </w:rPr>
        <w:fldChar w:fldCharType="separate"/>
      </w:r>
      <w:r w:rsidRPr="00006A07">
        <w:rPr>
          <w:noProof/>
          <w:lang w:val="bg-BG"/>
        </w:rPr>
        <w:t>51</w:t>
      </w:r>
      <w:r w:rsidRPr="00006A07">
        <w:rPr>
          <w:snapToGrid w:val="0"/>
          <w:lang w:val="bg-BG" w:eastAsia="en-US"/>
        </w:rPr>
        <w:fldChar w:fldCharType="end"/>
      </w:r>
      <w:r w:rsidRPr="00006A07">
        <w:rPr>
          <w:lang w:val="bg-BG"/>
        </w:rPr>
        <w:t xml:space="preserve"> по-горе) и че Договарящите държави подхождат по различен начин при уредбата на условията и начина на предоставяне на достъп до неразрешени за употреба лекарствени продукти (вж. параграфи </w:t>
      </w:r>
      <w:r w:rsidRPr="00006A07">
        <w:rPr>
          <w:lang w:val="bg-BG"/>
        </w:rPr>
        <w:fldChar w:fldCharType="begin"/>
      </w:r>
      <w:r w:rsidRPr="00006A07">
        <w:rPr>
          <w:lang w:val="bg-BG"/>
        </w:rPr>
        <w:instrText xml:space="preserve"> REF RCM_ECRIN_survey \h </w:instrText>
      </w:r>
      <w:r w:rsidRPr="00006A07">
        <w:rPr>
          <w:lang w:val="bg-BG"/>
        </w:rPr>
      </w:r>
      <w:r w:rsidRPr="00006A07">
        <w:rPr>
          <w:lang w:val="bg-BG"/>
        </w:rPr>
        <w:fldChar w:fldCharType="separate"/>
      </w:r>
      <w:r w:rsidRPr="00006A07">
        <w:rPr>
          <w:noProof/>
          <w:lang w:val="bg-BG"/>
        </w:rPr>
        <w:t>54</w:t>
      </w:r>
      <w:r w:rsidRPr="00006A07">
        <w:rPr>
          <w:lang w:val="bg-BG"/>
        </w:rPr>
        <w:fldChar w:fldCharType="end"/>
      </w:r>
      <w:r w:rsidRPr="00006A07">
        <w:rPr>
          <w:lang w:val="bg-BG"/>
        </w:rPr>
        <w:t xml:space="preserve"> </w:t>
      </w:r>
      <w:r w:rsidRPr="00006A07">
        <w:rPr>
          <w:lang w:val="bg-BG"/>
        </w:rPr>
        <w:noBreakHyphen/>
        <w:t xml:space="preserve"> </w:t>
      </w:r>
      <w:r w:rsidRPr="00006A07">
        <w:rPr>
          <w:lang w:val="bg-BG"/>
        </w:rPr>
        <w:fldChar w:fldCharType="begin"/>
      </w:r>
      <w:r w:rsidRPr="00006A07">
        <w:rPr>
          <w:lang w:val="bg-BG"/>
        </w:rPr>
        <w:instrText xml:space="preserve"> REF RCM_comp_material \h </w:instrText>
      </w:r>
      <w:r w:rsidRPr="00006A07">
        <w:rPr>
          <w:lang w:val="bg-BG"/>
        </w:rPr>
      </w:r>
      <w:r w:rsidRPr="00006A07">
        <w:rPr>
          <w:lang w:val="bg-BG"/>
        </w:rPr>
        <w:fldChar w:fldCharType="separate"/>
      </w:r>
      <w:r w:rsidRPr="00006A07">
        <w:rPr>
          <w:noProof/>
          <w:lang w:val="bg-BG"/>
        </w:rPr>
        <w:t>55</w:t>
      </w:r>
      <w:r w:rsidRPr="00006A07">
        <w:rPr>
          <w:lang w:val="bg-BG"/>
        </w:rPr>
        <w:fldChar w:fldCharType="end"/>
      </w:r>
      <w:r w:rsidRPr="00006A07">
        <w:rPr>
          <w:lang w:val="bg-BG"/>
        </w:rPr>
        <w:t xml:space="preserve"> по-горе).</w:t>
      </w:r>
    </w:p>
    <w:p w:rsidR="0095532B" w:rsidRPr="00006A07" w:rsidRDefault="0095532B" w:rsidP="008D7A78">
      <w:pPr>
        <w:pStyle w:val="JuPara"/>
        <w:rPr>
          <w:lang w:val="bg-BG"/>
        </w:rPr>
      </w:pPr>
      <w:r w:rsidRPr="00006A07">
        <w:rPr>
          <w:lang w:val="bg-BG"/>
        </w:rPr>
        <w:fldChar w:fldCharType="begin"/>
      </w:r>
      <w:r w:rsidRPr="00006A07">
        <w:rPr>
          <w:lang w:val="bg-BG"/>
        </w:rPr>
        <w:instrText xml:space="preserve"> SEQ level0 \*arabic </w:instrText>
      </w:r>
      <w:r w:rsidRPr="00006A07">
        <w:rPr>
          <w:lang w:val="bg-BG"/>
        </w:rPr>
        <w:fldChar w:fldCharType="separate"/>
      </w:r>
      <w:r w:rsidRPr="00006A07">
        <w:rPr>
          <w:noProof/>
          <w:lang w:val="bg-BG"/>
        </w:rPr>
        <w:t>109</w:t>
      </w:r>
      <w:r w:rsidRPr="00006A07">
        <w:rPr>
          <w:lang w:val="bg-BG"/>
        </w:rPr>
        <w:fldChar w:fldCharType="end"/>
      </w:r>
      <w:r w:rsidRPr="00006A07">
        <w:rPr>
          <w:lang w:val="bg-BG"/>
        </w:rPr>
        <w:t>.  Следователно не е налице нарушение на член 2 от Конвенцията.</w:t>
      </w:r>
    </w:p>
    <w:p w:rsidR="0095532B" w:rsidRPr="00006A07" w:rsidRDefault="0095532B" w:rsidP="008D7A78">
      <w:pPr>
        <w:pStyle w:val="JuH1"/>
        <w:rPr>
          <w:lang w:val="bg-BG"/>
        </w:rPr>
      </w:pPr>
      <w:r w:rsidRPr="00006A07">
        <w:rPr>
          <w:lang w:val="bg-BG"/>
        </w:rPr>
        <w:t>3.  Твърдяно нарушение на член 3 от Конвенцията</w:t>
      </w:r>
    </w:p>
    <w:p w:rsidR="0095532B" w:rsidRPr="00006A07" w:rsidRDefault="0095532B" w:rsidP="008D7A78">
      <w:pPr>
        <w:pStyle w:val="JuPara"/>
        <w:rPr>
          <w:lang w:val="bg-BG" w:eastAsia="en-US"/>
        </w:rPr>
      </w:pPr>
      <w:r w:rsidRPr="00006A07">
        <w:rPr>
          <w:lang w:val="bg-BG"/>
        </w:rPr>
        <w:fldChar w:fldCharType="begin"/>
      </w:r>
      <w:r w:rsidRPr="00006A07">
        <w:rPr>
          <w:lang w:val="bg-BG"/>
        </w:rPr>
        <w:instrText xml:space="preserve"> SEQ level0 \*arabic </w:instrText>
      </w:r>
      <w:r w:rsidRPr="00006A07">
        <w:rPr>
          <w:lang w:val="bg-BG"/>
        </w:rPr>
        <w:fldChar w:fldCharType="separate"/>
      </w:r>
      <w:r w:rsidRPr="00006A07">
        <w:rPr>
          <w:noProof/>
          <w:lang w:val="bg-BG"/>
        </w:rPr>
        <w:t>110</w:t>
      </w:r>
      <w:r w:rsidRPr="00006A07">
        <w:rPr>
          <w:lang w:val="bg-BG"/>
        </w:rPr>
        <w:fldChar w:fldCharType="end"/>
      </w:r>
      <w:r w:rsidRPr="00006A07">
        <w:rPr>
          <w:lang w:val="bg-BG"/>
        </w:rPr>
        <w:t xml:space="preserve">.  Член 3 от Конвенцията утвърждава една от най-основните ценности на демократичното общество. Той създава абсолютна забрана за изтезания или нечовешко или унизително отношение или наказание. За да попадне в рамките на тази разпоредба обаче, дадена форма на отношение трябва да достигне минимален праг на суровост. Преценката на това минимално ниво е относителна. Тя зависи от всички обстоятелства по случая, като продължителността на това отношение, неговите физически и психически въздействия и в някои случаи, пола, възрастта и здравословното състояние на жертвата (вж., като скорошен източник, </w:t>
      </w:r>
      <w:r w:rsidRPr="00006A07">
        <w:rPr>
          <w:i/>
          <w:iCs/>
          <w:lang w:val="bg-BG" w:eastAsia="en-US"/>
        </w:rPr>
        <w:t xml:space="preserve">A, B </w:t>
      </w:r>
      <w:proofErr w:type="spellStart"/>
      <w:r w:rsidRPr="00006A07">
        <w:rPr>
          <w:i/>
          <w:iCs/>
          <w:lang w:val="bg-BG" w:eastAsia="en-US"/>
        </w:rPr>
        <w:t>and</w:t>
      </w:r>
      <w:proofErr w:type="spellEnd"/>
      <w:r w:rsidRPr="00006A07">
        <w:rPr>
          <w:i/>
          <w:iCs/>
          <w:lang w:val="bg-BG" w:eastAsia="en-US"/>
        </w:rPr>
        <w:t xml:space="preserve"> C v. </w:t>
      </w:r>
      <w:proofErr w:type="spellStart"/>
      <w:r w:rsidRPr="00006A07">
        <w:rPr>
          <w:i/>
          <w:iCs/>
          <w:lang w:val="bg-BG" w:eastAsia="en-US"/>
        </w:rPr>
        <w:t>Ireland</w:t>
      </w:r>
      <w:proofErr w:type="spellEnd"/>
      <w:r w:rsidRPr="00006A07">
        <w:rPr>
          <w:lang w:val="bg-BG" w:eastAsia="en-US"/>
        </w:rPr>
        <w:t xml:space="preserve"> [GC], </w:t>
      </w:r>
      <w:proofErr w:type="spellStart"/>
      <w:r w:rsidRPr="00006A07">
        <w:rPr>
          <w:lang w:val="bg-BG" w:eastAsia="en-US"/>
        </w:rPr>
        <w:t>no</w:t>
      </w:r>
      <w:proofErr w:type="spellEnd"/>
      <w:r w:rsidRPr="00006A07">
        <w:rPr>
          <w:lang w:val="bg-BG" w:eastAsia="en-US"/>
        </w:rPr>
        <w:t>. 25579/05, § 164, ECHR 2010</w:t>
      </w:r>
      <w:r w:rsidRPr="00006A07">
        <w:rPr>
          <w:lang w:val="bg-BG" w:eastAsia="en-US"/>
        </w:rPr>
        <w:noBreakHyphen/>
        <w:t>...</w:t>
      </w:r>
      <w:r w:rsidRPr="00006A07">
        <w:rPr>
          <w:snapToGrid w:val="0"/>
          <w:lang w:val="bg-BG" w:eastAsia="en-US"/>
        </w:rPr>
        <w:t xml:space="preserve">). При преценката на това дали дадено лечение е „унизително“, Съдът ще вземе предвид дали целта му е била да унижи и урони достойнството на засегнатото лице и дали, що се отнася до последиците, то е засегнало неблагоприятно личността по начин, несъвместим с член 3 (вж., наред с другите източници, </w:t>
      </w:r>
      <w:proofErr w:type="spellStart"/>
      <w:r w:rsidRPr="00006A07">
        <w:rPr>
          <w:i/>
          <w:iCs/>
          <w:lang w:val="bg-BG" w:eastAsia="en-US"/>
        </w:rPr>
        <w:t>Wainwright</w:t>
      </w:r>
      <w:proofErr w:type="spellEnd"/>
      <w:r w:rsidRPr="00006A07">
        <w:rPr>
          <w:i/>
          <w:iCs/>
          <w:lang w:val="bg-BG" w:eastAsia="en-US"/>
        </w:rPr>
        <w:t xml:space="preserve"> v. </w:t>
      </w:r>
      <w:proofErr w:type="spellStart"/>
      <w:r w:rsidRPr="00006A07">
        <w:rPr>
          <w:i/>
          <w:iCs/>
          <w:lang w:val="bg-BG" w:eastAsia="en-US"/>
        </w:rPr>
        <w:t>the</w:t>
      </w:r>
      <w:proofErr w:type="spellEnd"/>
      <w:r w:rsidRPr="00006A07">
        <w:rPr>
          <w:i/>
          <w:iCs/>
          <w:lang w:val="bg-BG" w:eastAsia="en-US"/>
        </w:rPr>
        <w:t xml:space="preserve"> </w:t>
      </w:r>
      <w:proofErr w:type="spellStart"/>
      <w:r w:rsidRPr="00006A07">
        <w:rPr>
          <w:i/>
          <w:iCs/>
          <w:lang w:val="bg-BG" w:eastAsia="en-US"/>
        </w:rPr>
        <w:t>United</w:t>
      </w:r>
      <w:proofErr w:type="spellEnd"/>
      <w:r w:rsidRPr="00006A07">
        <w:rPr>
          <w:i/>
          <w:iCs/>
          <w:lang w:val="bg-BG" w:eastAsia="en-US"/>
        </w:rPr>
        <w:t xml:space="preserve"> </w:t>
      </w:r>
      <w:proofErr w:type="spellStart"/>
      <w:r w:rsidRPr="00006A07">
        <w:rPr>
          <w:i/>
          <w:iCs/>
          <w:lang w:val="bg-BG" w:eastAsia="en-US"/>
        </w:rPr>
        <w:t>Kingdom</w:t>
      </w:r>
      <w:proofErr w:type="spellEnd"/>
      <w:r w:rsidRPr="00006A07">
        <w:rPr>
          <w:lang w:val="bg-BG" w:eastAsia="en-US"/>
        </w:rPr>
        <w:t xml:space="preserve">, </w:t>
      </w:r>
      <w:proofErr w:type="spellStart"/>
      <w:r w:rsidRPr="00006A07">
        <w:rPr>
          <w:lang w:val="bg-BG" w:eastAsia="en-US"/>
        </w:rPr>
        <w:t>no</w:t>
      </w:r>
      <w:proofErr w:type="spellEnd"/>
      <w:r w:rsidRPr="00006A07">
        <w:rPr>
          <w:lang w:val="bg-BG" w:eastAsia="en-US"/>
        </w:rPr>
        <w:t>. 12350/04, § 41, ECHR 2006</w:t>
      </w:r>
      <w:r w:rsidRPr="00006A07">
        <w:rPr>
          <w:lang w:val="bg-BG" w:eastAsia="en-US"/>
        </w:rPr>
        <w:noBreakHyphen/>
        <w:t>X</w:t>
      </w:r>
      <w:r w:rsidRPr="00006A07">
        <w:rPr>
          <w:snapToGrid w:val="0"/>
          <w:lang w:val="bg-BG" w:eastAsia="en-US"/>
        </w:rPr>
        <w:t>).</w:t>
      </w:r>
    </w:p>
    <w:p w:rsidR="0095532B" w:rsidRPr="00006A07" w:rsidRDefault="0095532B" w:rsidP="008D7A78">
      <w:pPr>
        <w:pStyle w:val="JuPara"/>
        <w:rPr>
          <w:lang w:val="bg-BG" w:eastAsia="en-US"/>
        </w:rPr>
      </w:pPr>
      <w:r w:rsidRPr="00006A07">
        <w:rPr>
          <w:snapToGrid w:val="0"/>
          <w:lang w:val="bg-BG" w:eastAsia="en-US"/>
        </w:rPr>
        <w:fldChar w:fldCharType="begin"/>
      </w:r>
      <w:r w:rsidRPr="00006A07">
        <w:rPr>
          <w:snapToGrid w:val="0"/>
          <w:lang w:val="bg-BG" w:eastAsia="en-US"/>
        </w:rPr>
        <w:instrText xml:space="preserve"> SEQ level0 \*arabic </w:instrText>
      </w:r>
      <w:r w:rsidRPr="00006A07">
        <w:rPr>
          <w:snapToGrid w:val="0"/>
          <w:lang w:val="bg-BG" w:eastAsia="en-US"/>
        </w:rPr>
        <w:fldChar w:fldCharType="separate"/>
      </w:r>
      <w:r w:rsidRPr="00006A07">
        <w:rPr>
          <w:noProof/>
          <w:snapToGrid w:val="0"/>
          <w:lang w:val="bg-BG" w:eastAsia="en-US"/>
        </w:rPr>
        <w:t>111</w:t>
      </w:r>
      <w:r w:rsidRPr="00006A07">
        <w:rPr>
          <w:snapToGrid w:val="0"/>
          <w:lang w:val="bg-BG" w:eastAsia="en-US"/>
        </w:rPr>
        <w:fldChar w:fldCharType="end"/>
      </w:r>
      <w:r w:rsidRPr="00006A07">
        <w:rPr>
          <w:snapToGrid w:val="0"/>
          <w:lang w:val="bg-BG" w:eastAsia="en-US"/>
        </w:rPr>
        <w:t xml:space="preserve">.  Прегледът на практиката на Съда показва, че член 3 е бил прилаган най-често в ситуации, при които рискът от подлагане на забранена форма на отношение е произтичал от умишлено извършени действия на представители на Държавата или обществените органи. Като цяло той може да бъде описан като налагащ главно негативно задължение на Държавата да се въздържа от причиняване на сериозни вреди на лица в рамките на нейната юрисдикция. В контекста на фундаменталното значение на член 3 Съдът си е запазил достатъчна гъвкавост да разгледа приложението му и в други ситуации (вж. </w:t>
      </w:r>
      <w:proofErr w:type="spellStart"/>
      <w:r w:rsidRPr="00006A07">
        <w:rPr>
          <w:i/>
          <w:iCs/>
          <w:lang w:val="bg-BG"/>
        </w:rPr>
        <w:t>Pretty</w:t>
      </w:r>
      <w:proofErr w:type="spellEnd"/>
      <w:r w:rsidRPr="00006A07">
        <w:rPr>
          <w:i/>
          <w:iCs/>
          <w:lang w:val="bg-BG"/>
        </w:rPr>
        <w:t xml:space="preserve"> v. </w:t>
      </w:r>
      <w:proofErr w:type="spellStart"/>
      <w:r w:rsidRPr="00006A07">
        <w:rPr>
          <w:i/>
          <w:iCs/>
          <w:lang w:val="bg-BG"/>
        </w:rPr>
        <w:t>the</w:t>
      </w:r>
      <w:proofErr w:type="spellEnd"/>
      <w:r w:rsidRPr="00006A07">
        <w:rPr>
          <w:i/>
          <w:iCs/>
          <w:lang w:val="bg-BG"/>
        </w:rPr>
        <w:t xml:space="preserve"> </w:t>
      </w:r>
      <w:proofErr w:type="spellStart"/>
      <w:r w:rsidRPr="00006A07">
        <w:rPr>
          <w:i/>
          <w:iCs/>
          <w:lang w:val="bg-BG"/>
        </w:rPr>
        <w:t>United</w:t>
      </w:r>
      <w:proofErr w:type="spellEnd"/>
      <w:r w:rsidRPr="00006A07">
        <w:rPr>
          <w:i/>
          <w:iCs/>
          <w:lang w:val="bg-BG"/>
        </w:rPr>
        <w:t xml:space="preserve"> </w:t>
      </w:r>
      <w:proofErr w:type="spellStart"/>
      <w:r w:rsidRPr="00006A07">
        <w:rPr>
          <w:i/>
          <w:iCs/>
          <w:lang w:val="bg-BG"/>
        </w:rPr>
        <w:t>Kingdom</w:t>
      </w:r>
      <w:proofErr w:type="spellEnd"/>
      <w:r w:rsidRPr="00006A07">
        <w:rPr>
          <w:lang w:val="bg-BG"/>
        </w:rPr>
        <w:t xml:space="preserve">, </w:t>
      </w:r>
      <w:proofErr w:type="spellStart"/>
      <w:r w:rsidRPr="00006A07">
        <w:rPr>
          <w:lang w:val="bg-BG"/>
        </w:rPr>
        <w:t>no</w:t>
      </w:r>
      <w:proofErr w:type="spellEnd"/>
      <w:r w:rsidRPr="00006A07">
        <w:rPr>
          <w:lang w:val="bg-BG"/>
        </w:rPr>
        <w:t>. 2346/02, § 50, ECHR 2002</w:t>
      </w:r>
      <w:r w:rsidRPr="00006A07">
        <w:rPr>
          <w:lang w:val="bg-BG"/>
        </w:rPr>
        <w:noBreakHyphen/>
        <w:t>III</w:t>
      </w:r>
      <w:r w:rsidRPr="00006A07">
        <w:rPr>
          <w:snapToGrid w:val="0"/>
          <w:lang w:val="bg-BG" w:eastAsia="en-US"/>
        </w:rPr>
        <w:t xml:space="preserve">). Например страдание, което произтича от естествено възникнало заболяване, би могло да попадне в обхвата на член 3, когато е или рискува да бъде влошено от лечение, което произтича от мерки, за които държавните власти могат да бъдат държани отговорни (вж. </w:t>
      </w:r>
      <w:r w:rsidRPr="00006A07">
        <w:rPr>
          <w:i/>
          <w:iCs/>
          <w:lang w:val="bg-BG" w:eastAsia="en-US"/>
        </w:rPr>
        <w:t xml:space="preserve">N.v. </w:t>
      </w:r>
      <w:proofErr w:type="spellStart"/>
      <w:r w:rsidRPr="00006A07">
        <w:rPr>
          <w:i/>
          <w:iCs/>
          <w:lang w:val="bg-BG" w:eastAsia="en-US"/>
        </w:rPr>
        <w:t>the</w:t>
      </w:r>
      <w:proofErr w:type="spellEnd"/>
      <w:r w:rsidRPr="00006A07">
        <w:rPr>
          <w:i/>
          <w:iCs/>
          <w:lang w:val="bg-BG" w:eastAsia="en-US"/>
        </w:rPr>
        <w:t xml:space="preserve"> </w:t>
      </w:r>
      <w:proofErr w:type="spellStart"/>
      <w:r w:rsidRPr="00006A07">
        <w:rPr>
          <w:i/>
          <w:iCs/>
          <w:lang w:val="bg-BG" w:eastAsia="en-US"/>
        </w:rPr>
        <w:t>United</w:t>
      </w:r>
      <w:proofErr w:type="spellEnd"/>
      <w:r w:rsidRPr="00006A07">
        <w:rPr>
          <w:i/>
          <w:iCs/>
          <w:lang w:val="bg-BG" w:eastAsia="en-US"/>
        </w:rPr>
        <w:t xml:space="preserve"> </w:t>
      </w:r>
      <w:proofErr w:type="spellStart"/>
      <w:r w:rsidRPr="00006A07">
        <w:rPr>
          <w:i/>
          <w:iCs/>
          <w:lang w:val="bg-BG" w:eastAsia="en-US"/>
        </w:rPr>
        <w:t>Kingdom</w:t>
      </w:r>
      <w:proofErr w:type="spellEnd"/>
      <w:r w:rsidRPr="00006A07">
        <w:rPr>
          <w:lang w:val="bg-BG" w:eastAsia="en-US"/>
        </w:rPr>
        <w:t xml:space="preserve"> [GC], </w:t>
      </w:r>
      <w:proofErr w:type="spellStart"/>
      <w:r w:rsidRPr="00006A07">
        <w:rPr>
          <w:lang w:val="bg-BG" w:eastAsia="en-US"/>
        </w:rPr>
        <w:t>no</w:t>
      </w:r>
      <w:proofErr w:type="spellEnd"/>
      <w:r w:rsidRPr="00006A07">
        <w:rPr>
          <w:lang w:val="bg-BG" w:eastAsia="en-US"/>
        </w:rPr>
        <w:t>. 26565/05, § 29, ECHR 2008</w:t>
      </w:r>
      <w:r w:rsidRPr="00006A07">
        <w:rPr>
          <w:lang w:val="bg-BG" w:eastAsia="en-US"/>
        </w:rPr>
        <w:noBreakHyphen/>
        <w:t xml:space="preserve">...). Прагът при такива ситуации </w:t>
      </w:r>
      <w:r w:rsidRPr="00006A07">
        <w:rPr>
          <w:lang w:val="bg-BG" w:eastAsia="en-US"/>
        </w:rPr>
        <w:lastRenderedPageBreak/>
        <w:t>обаче е висок, тъй като твърдяната вреда произлиза не от действия или бездействия на държавните власти, а от заболяването (</w:t>
      </w:r>
      <w:proofErr w:type="spellStart"/>
      <w:r w:rsidRPr="00006A07">
        <w:rPr>
          <w:lang w:val="bg-BG" w:eastAsia="en-US"/>
        </w:rPr>
        <w:t>ibid</w:t>
      </w:r>
      <w:proofErr w:type="spellEnd"/>
      <w:r w:rsidRPr="00006A07">
        <w:rPr>
          <w:lang w:val="bg-BG" w:eastAsia="en-US"/>
        </w:rPr>
        <w:t>., § 43).</w:t>
      </w:r>
    </w:p>
    <w:p w:rsidR="0095532B" w:rsidRPr="00006A07" w:rsidRDefault="0095532B" w:rsidP="008D7A78">
      <w:pPr>
        <w:pStyle w:val="JuPara"/>
        <w:rPr>
          <w:snapToGrid w:val="0"/>
          <w:lang w:val="bg-BG" w:eastAsia="en-US"/>
        </w:rPr>
      </w:pPr>
      <w:r w:rsidRPr="00006A07">
        <w:rPr>
          <w:lang w:val="bg-BG" w:eastAsia="en-US"/>
        </w:rPr>
        <w:fldChar w:fldCharType="begin"/>
      </w:r>
      <w:r w:rsidRPr="00006A07">
        <w:rPr>
          <w:lang w:val="bg-BG" w:eastAsia="en-US"/>
        </w:rPr>
        <w:instrText xml:space="preserve"> SEQ level0 \*arabic </w:instrText>
      </w:r>
      <w:r w:rsidRPr="00006A07">
        <w:rPr>
          <w:lang w:val="bg-BG" w:eastAsia="en-US"/>
        </w:rPr>
        <w:fldChar w:fldCharType="separate"/>
      </w:r>
      <w:r w:rsidRPr="00006A07">
        <w:rPr>
          <w:noProof/>
          <w:lang w:val="bg-BG" w:eastAsia="en-US"/>
        </w:rPr>
        <w:t>112</w:t>
      </w:r>
      <w:r w:rsidRPr="00006A07">
        <w:rPr>
          <w:lang w:val="bg-BG" w:eastAsia="en-US"/>
        </w:rPr>
        <w:fldChar w:fldCharType="end"/>
      </w:r>
      <w:r w:rsidRPr="00006A07">
        <w:rPr>
          <w:lang w:val="bg-BG" w:eastAsia="en-US"/>
        </w:rPr>
        <w:t xml:space="preserve">.  В настоящия случай няма оплакване, че жалбоподателите не са получили подходящо медицинско лечение. Изглежда, че всички са получили такова лечение, което, за съжаление, се е оказало недостатъчно за лекуване на медицинските им състояния. Поради това тяхното положение не е съпоставимо с това на задържани лица, които се оплакват от липсата на медицинско лечение (вж. например </w:t>
      </w:r>
      <w:proofErr w:type="spellStart"/>
      <w:r w:rsidRPr="00006A07">
        <w:rPr>
          <w:i/>
          <w:iCs/>
          <w:lang w:val="bg-BG" w:eastAsia="en-US"/>
        </w:rPr>
        <w:t>Keenan</w:t>
      </w:r>
      <w:proofErr w:type="spellEnd"/>
      <w:r w:rsidRPr="00006A07">
        <w:rPr>
          <w:i/>
          <w:iCs/>
          <w:lang w:val="bg-BG" w:eastAsia="en-US"/>
        </w:rPr>
        <w:t xml:space="preserve"> v. </w:t>
      </w:r>
      <w:proofErr w:type="spellStart"/>
      <w:r w:rsidRPr="00006A07">
        <w:rPr>
          <w:i/>
          <w:iCs/>
          <w:lang w:val="bg-BG" w:eastAsia="en-US"/>
        </w:rPr>
        <w:t>the</w:t>
      </w:r>
      <w:proofErr w:type="spellEnd"/>
      <w:r w:rsidRPr="00006A07">
        <w:rPr>
          <w:i/>
          <w:iCs/>
          <w:lang w:val="bg-BG" w:eastAsia="en-US"/>
        </w:rPr>
        <w:t xml:space="preserve"> </w:t>
      </w:r>
      <w:proofErr w:type="spellStart"/>
      <w:r w:rsidRPr="00006A07">
        <w:rPr>
          <w:i/>
          <w:iCs/>
          <w:lang w:val="bg-BG" w:eastAsia="en-US"/>
        </w:rPr>
        <w:t>United</w:t>
      </w:r>
      <w:proofErr w:type="spellEnd"/>
      <w:r w:rsidRPr="00006A07">
        <w:rPr>
          <w:i/>
          <w:iCs/>
          <w:lang w:val="bg-BG" w:eastAsia="en-US"/>
        </w:rPr>
        <w:t xml:space="preserve"> </w:t>
      </w:r>
      <w:proofErr w:type="spellStart"/>
      <w:r w:rsidRPr="00006A07">
        <w:rPr>
          <w:i/>
          <w:iCs/>
          <w:lang w:val="bg-BG" w:eastAsia="en-US"/>
        </w:rPr>
        <w:t>Kingdom</w:t>
      </w:r>
      <w:proofErr w:type="spellEnd"/>
      <w:r w:rsidRPr="00006A07">
        <w:rPr>
          <w:lang w:val="bg-BG" w:eastAsia="en-US"/>
        </w:rPr>
        <w:t xml:space="preserve">, </w:t>
      </w:r>
      <w:proofErr w:type="spellStart"/>
      <w:r w:rsidRPr="00006A07">
        <w:rPr>
          <w:lang w:val="bg-BG" w:eastAsia="en-US"/>
        </w:rPr>
        <w:t>no</w:t>
      </w:r>
      <w:proofErr w:type="spellEnd"/>
      <w:r w:rsidRPr="00006A07">
        <w:rPr>
          <w:lang w:val="bg-BG" w:eastAsia="en-US"/>
        </w:rPr>
        <w:t xml:space="preserve">. 27229/95, §§ 109 </w:t>
      </w:r>
      <w:r w:rsidRPr="00006A07">
        <w:rPr>
          <w:lang w:val="bg-BG" w:eastAsia="en-US"/>
        </w:rPr>
        <w:noBreakHyphen/>
        <w:t xml:space="preserve"> 16, ECHR 2001</w:t>
      </w:r>
      <w:r w:rsidRPr="00006A07">
        <w:rPr>
          <w:lang w:val="bg-BG" w:eastAsia="en-US"/>
        </w:rPr>
        <w:noBreakHyphen/>
        <w:t xml:space="preserve">III; </w:t>
      </w:r>
      <w:proofErr w:type="spellStart"/>
      <w:r w:rsidRPr="00006A07">
        <w:rPr>
          <w:i/>
          <w:iCs/>
          <w:lang w:val="bg-BG" w:eastAsia="en-US"/>
        </w:rPr>
        <w:t>McGlinchey</w:t>
      </w:r>
      <w:proofErr w:type="spellEnd"/>
      <w:r w:rsidRPr="00006A07">
        <w:rPr>
          <w:i/>
          <w:iCs/>
          <w:lang w:val="bg-BG" w:eastAsia="en-US"/>
        </w:rPr>
        <w:t xml:space="preserve"> </w:t>
      </w:r>
      <w:proofErr w:type="spellStart"/>
      <w:r w:rsidRPr="00006A07">
        <w:rPr>
          <w:i/>
          <w:iCs/>
          <w:lang w:val="bg-BG" w:eastAsia="en-US"/>
        </w:rPr>
        <w:t>and</w:t>
      </w:r>
      <w:proofErr w:type="spellEnd"/>
      <w:r w:rsidRPr="00006A07">
        <w:rPr>
          <w:i/>
          <w:iCs/>
          <w:lang w:val="bg-BG" w:eastAsia="en-US"/>
        </w:rPr>
        <w:t xml:space="preserve"> </w:t>
      </w:r>
      <w:proofErr w:type="spellStart"/>
      <w:r w:rsidRPr="00006A07">
        <w:rPr>
          <w:i/>
          <w:iCs/>
          <w:lang w:val="bg-BG" w:eastAsia="en-US"/>
        </w:rPr>
        <w:t>Others</w:t>
      </w:r>
      <w:proofErr w:type="spellEnd"/>
      <w:r w:rsidRPr="00006A07">
        <w:rPr>
          <w:i/>
          <w:iCs/>
          <w:lang w:val="bg-BG" w:eastAsia="en-US"/>
        </w:rPr>
        <w:t xml:space="preserve"> v. </w:t>
      </w:r>
      <w:proofErr w:type="spellStart"/>
      <w:r w:rsidRPr="00006A07">
        <w:rPr>
          <w:i/>
          <w:iCs/>
          <w:lang w:val="bg-BG" w:eastAsia="en-US"/>
        </w:rPr>
        <w:t>the</w:t>
      </w:r>
      <w:proofErr w:type="spellEnd"/>
      <w:r w:rsidRPr="00006A07">
        <w:rPr>
          <w:i/>
          <w:iCs/>
          <w:lang w:val="bg-BG" w:eastAsia="en-US"/>
        </w:rPr>
        <w:t xml:space="preserve"> </w:t>
      </w:r>
      <w:proofErr w:type="spellStart"/>
      <w:r w:rsidRPr="00006A07">
        <w:rPr>
          <w:i/>
          <w:iCs/>
          <w:lang w:val="bg-BG" w:eastAsia="en-US"/>
        </w:rPr>
        <w:t>United</w:t>
      </w:r>
      <w:proofErr w:type="spellEnd"/>
      <w:r w:rsidRPr="00006A07">
        <w:rPr>
          <w:i/>
          <w:iCs/>
          <w:lang w:val="bg-BG" w:eastAsia="en-US"/>
        </w:rPr>
        <w:t xml:space="preserve"> </w:t>
      </w:r>
      <w:proofErr w:type="spellStart"/>
      <w:r w:rsidRPr="00006A07">
        <w:rPr>
          <w:i/>
          <w:iCs/>
          <w:lang w:val="bg-BG" w:eastAsia="en-US"/>
        </w:rPr>
        <w:t>Kingdom</w:t>
      </w:r>
      <w:proofErr w:type="spellEnd"/>
      <w:r w:rsidRPr="00006A07">
        <w:rPr>
          <w:lang w:val="bg-BG" w:eastAsia="en-US"/>
        </w:rPr>
        <w:t xml:space="preserve">, </w:t>
      </w:r>
      <w:proofErr w:type="spellStart"/>
      <w:r w:rsidRPr="00006A07">
        <w:rPr>
          <w:lang w:val="bg-BG" w:eastAsia="en-US"/>
        </w:rPr>
        <w:t>no</w:t>
      </w:r>
      <w:proofErr w:type="spellEnd"/>
      <w:r w:rsidRPr="00006A07">
        <w:rPr>
          <w:lang w:val="bg-BG" w:eastAsia="en-US"/>
        </w:rPr>
        <w:t xml:space="preserve">. 50390/99, §§ 47 </w:t>
      </w:r>
      <w:r w:rsidRPr="00006A07">
        <w:rPr>
          <w:lang w:val="bg-BG" w:eastAsia="en-US"/>
        </w:rPr>
        <w:noBreakHyphen/>
        <w:t xml:space="preserve"> 58, ECHR 2003</w:t>
      </w:r>
      <w:r w:rsidRPr="00006A07">
        <w:rPr>
          <w:lang w:val="bg-BG" w:eastAsia="en-US"/>
        </w:rPr>
        <w:noBreakHyphen/>
        <w:t xml:space="preserve">V; и </w:t>
      </w:r>
      <w:proofErr w:type="spellStart"/>
      <w:r w:rsidRPr="00006A07">
        <w:rPr>
          <w:i/>
          <w:iCs/>
          <w:lang w:val="bg-BG" w:eastAsia="en-US"/>
        </w:rPr>
        <w:t>Sławomir</w:t>
      </w:r>
      <w:proofErr w:type="spellEnd"/>
      <w:r w:rsidRPr="00006A07">
        <w:rPr>
          <w:i/>
          <w:iCs/>
          <w:lang w:val="bg-BG" w:eastAsia="en-US"/>
        </w:rPr>
        <w:t xml:space="preserve"> </w:t>
      </w:r>
      <w:proofErr w:type="spellStart"/>
      <w:r w:rsidRPr="00006A07">
        <w:rPr>
          <w:i/>
          <w:iCs/>
          <w:lang w:val="bg-BG" w:eastAsia="en-US"/>
        </w:rPr>
        <w:t>Musiałv</w:t>
      </w:r>
      <w:proofErr w:type="spellEnd"/>
      <w:r w:rsidRPr="00006A07">
        <w:rPr>
          <w:i/>
          <w:iCs/>
          <w:lang w:val="bg-BG" w:eastAsia="en-US"/>
        </w:rPr>
        <w:t xml:space="preserve">. </w:t>
      </w:r>
      <w:proofErr w:type="spellStart"/>
      <w:r w:rsidRPr="00006A07">
        <w:rPr>
          <w:i/>
          <w:iCs/>
          <w:lang w:val="bg-BG" w:eastAsia="en-US"/>
        </w:rPr>
        <w:t>Poland</w:t>
      </w:r>
      <w:proofErr w:type="spellEnd"/>
      <w:r w:rsidRPr="00006A07">
        <w:rPr>
          <w:lang w:val="bg-BG" w:eastAsia="en-US"/>
        </w:rPr>
        <w:t xml:space="preserve">, </w:t>
      </w:r>
      <w:proofErr w:type="spellStart"/>
      <w:r w:rsidRPr="00006A07">
        <w:rPr>
          <w:lang w:val="bg-BG" w:eastAsia="en-US"/>
        </w:rPr>
        <w:t>no</w:t>
      </w:r>
      <w:proofErr w:type="spellEnd"/>
      <w:r w:rsidRPr="00006A07">
        <w:rPr>
          <w:lang w:val="bg-BG" w:eastAsia="en-US"/>
        </w:rPr>
        <w:t>. 28300/06, §§ 85</w:t>
      </w:r>
      <w:r w:rsidRPr="00006A07">
        <w:rPr>
          <w:lang w:val="bg-BG" w:eastAsia="en-US"/>
        </w:rPr>
        <w:noBreakHyphen/>
        <w:t xml:space="preserve">98, 20 януари 2009 г.), сериозно болни лица, които не биха имали възможност да получат лечение, поради преместването си в държава, в която няма подходящи медицински заведения (вж. </w:t>
      </w:r>
      <w:r w:rsidRPr="00006A07">
        <w:rPr>
          <w:i/>
          <w:iCs/>
          <w:lang w:val="bg-BG" w:eastAsia="en-US"/>
        </w:rPr>
        <w:t xml:space="preserve">N. v. </w:t>
      </w:r>
      <w:proofErr w:type="spellStart"/>
      <w:r w:rsidRPr="00006A07">
        <w:rPr>
          <w:i/>
          <w:iCs/>
          <w:lang w:val="bg-BG" w:eastAsia="en-US"/>
        </w:rPr>
        <w:t>the</w:t>
      </w:r>
      <w:proofErr w:type="spellEnd"/>
      <w:r w:rsidRPr="00006A07">
        <w:rPr>
          <w:i/>
          <w:iCs/>
          <w:lang w:val="bg-BG" w:eastAsia="en-US"/>
        </w:rPr>
        <w:t xml:space="preserve"> </w:t>
      </w:r>
      <w:proofErr w:type="spellStart"/>
      <w:r w:rsidRPr="00006A07">
        <w:rPr>
          <w:i/>
          <w:iCs/>
          <w:lang w:val="bg-BG" w:eastAsia="en-US"/>
        </w:rPr>
        <w:t>United</w:t>
      </w:r>
      <w:proofErr w:type="spellEnd"/>
      <w:r w:rsidRPr="00006A07">
        <w:rPr>
          <w:i/>
          <w:iCs/>
          <w:lang w:val="bg-BG" w:eastAsia="en-US"/>
        </w:rPr>
        <w:t xml:space="preserve"> </w:t>
      </w:r>
      <w:proofErr w:type="spellStart"/>
      <w:r w:rsidRPr="00006A07">
        <w:rPr>
          <w:i/>
          <w:iCs/>
          <w:lang w:val="bg-BG" w:eastAsia="en-US"/>
        </w:rPr>
        <w:t>Kingdom</w:t>
      </w:r>
      <w:proofErr w:type="spellEnd"/>
      <w:r w:rsidRPr="00006A07">
        <w:rPr>
          <w:lang w:val="bg-BG" w:eastAsia="en-US"/>
        </w:rPr>
        <w:t xml:space="preserve">, цитирано по-горе, §§ 32 </w:t>
      </w:r>
      <w:r w:rsidRPr="00006A07">
        <w:rPr>
          <w:lang w:val="bg-BG" w:eastAsia="en-US"/>
        </w:rPr>
        <w:noBreakHyphen/>
        <w:t xml:space="preserve"> 51, и делата, цитирани по-горе), или лица в уязвимо положение, на които, в резултат от груба незаинтересуваност от страна на медицински специалисти, е отказан достъп до по принцип налични диагностични услуги, на които те имат право по силата на закона (вж. </w:t>
      </w:r>
      <w:r w:rsidRPr="00006A07">
        <w:rPr>
          <w:i/>
          <w:iCs/>
          <w:lang w:val="bg-BG" w:eastAsia="en-US"/>
        </w:rPr>
        <w:t>R.</w:t>
      </w:r>
      <w:proofErr w:type="spellStart"/>
      <w:r w:rsidRPr="00006A07">
        <w:rPr>
          <w:i/>
          <w:iCs/>
          <w:lang w:val="bg-BG" w:eastAsia="en-US"/>
        </w:rPr>
        <w:t>R</w:t>
      </w:r>
      <w:proofErr w:type="spellEnd"/>
      <w:r w:rsidRPr="00006A07">
        <w:rPr>
          <w:i/>
          <w:iCs/>
          <w:lang w:val="bg-BG" w:eastAsia="en-US"/>
        </w:rPr>
        <w:t xml:space="preserve">. </w:t>
      </w:r>
      <w:r w:rsidRPr="00006A07">
        <w:rPr>
          <w:i/>
          <w:iCs/>
          <w:snapToGrid w:val="0"/>
          <w:lang w:val="bg-BG" w:eastAsia="en-US"/>
        </w:rPr>
        <w:t xml:space="preserve">v. </w:t>
      </w:r>
      <w:proofErr w:type="spellStart"/>
      <w:r w:rsidRPr="00006A07">
        <w:rPr>
          <w:i/>
          <w:iCs/>
          <w:snapToGrid w:val="0"/>
          <w:lang w:val="bg-BG" w:eastAsia="en-US"/>
        </w:rPr>
        <w:t>Poland</w:t>
      </w:r>
      <w:proofErr w:type="spellEnd"/>
      <w:r w:rsidRPr="00006A07">
        <w:rPr>
          <w:snapToGrid w:val="0"/>
          <w:lang w:val="bg-BG" w:eastAsia="en-US"/>
        </w:rPr>
        <w:t xml:space="preserve">, </w:t>
      </w:r>
      <w:proofErr w:type="spellStart"/>
      <w:r w:rsidRPr="00006A07">
        <w:rPr>
          <w:snapToGrid w:val="0"/>
          <w:lang w:val="bg-BG" w:eastAsia="en-US"/>
        </w:rPr>
        <w:t>no</w:t>
      </w:r>
      <w:proofErr w:type="spellEnd"/>
      <w:r w:rsidRPr="00006A07">
        <w:rPr>
          <w:snapToGrid w:val="0"/>
          <w:lang w:val="bg-BG" w:eastAsia="en-US"/>
        </w:rPr>
        <w:t xml:space="preserve">. </w:t>
      </w:r>
      <w:r w:rsidRPr="00006A07">
        <w:rPr>
          <w:lang w:val="bg-BG" w:eastAsia="en-US"/>
        </w:rPr>
        <w:t>27617/04</w:t>
      </w:r>
      <w:r w:rsidRPr="00006A07">
        <w:rPr>
          <w:snapToGrid w:val="0"/>
          <w:lang w:val="bg-BG" w:eastAsia="en-US"/>
        </w:rPr>
        <w:t xml:space="preserve">, §§ 148 </w:t>
      </w:r>
      <w:r w:rsidRPr="00006A07">
        <w:rPr>
          <w:snapToGrid w:val="0"/>
          <w:lang w:val="bg-BG" w:eastAsia="en-US"/>
        </w:rPr>
        <w:noBreakHyphen/>
        <w:t xml:space="preserve"> 62, 2</w:t>
      </w:r>
      <w:r w:rsidRPr="00006A07">
        <w:rPr>
          <w:lang w:val="bg-BG" w:eastAsia="en-US"/>
        </w:rPr>
        <w:t xml:space="preserve">6 май </w:t>
      </w:r>
      <w:r w:rsidRPr="00006A07">
        <w:rPr>
          <w:snapToGrid w:val="0"/>
          <w:lang w:val="bg-BG" w:eastAsia="en-US"/>
        </w:rPr>
        <w:t>2011 г.).</w:t>
      </w:r>
    </w:p>
    <w:p w:rsidR="0095532B" w:rsidRPr="00006A07" w:rsidRDefault="0095532B" w:rsidP="008D7A78">
      <w:pPr>
        <w:pStyle w:val="JuPara"/>
        <w:rPr>
          <w:lang w:val="bg-BG" w:eastAsia="en-US"/>
        </w:rPr>
      </w:pPr>
      <w:r w:rsidRPr="00006A07">
        <w:rPr>
          <w:lang w:val="bg-BG" w:eastAsia="en-US"/>
        </w:rPr>
        <w:fldChar w:fldCharType="begin"/>
      </w:r>
      <w:r w:rsidRPr="00006A07">
        <w:rPr>
          <w:lang w:val="bg-BG" w:eastAsia="en-US"/>
        </w:rPr>
        <w:instrText xml:space="preserve"> SEQ level0 \*arabic </w:instrText>
      </w:r>
      <w:r w:rsidRPr="00006A07">
        <w:rPr>
          <w:lang w:val="bg-BG" w:eastAsia="en-US"/>
        </w:rPr>
        <w:fldChar w:fldCharType="separate"/>
      </w:r>
      <w:r w:rsidRPr="00006A07">
        <w:rPr>
          <w:noProof/>
          <w:lang w:val="bg-BG" w:eastAsia="en-US"/>
        </w:rPr>
        <w:t>113</w:t>
      </w:r>
      <w:r w:rsidRPr="00006A07">
        <w:rPr>
          <w:lang w:val="bg-BG" w:eastAsia="en-US"/>
        </w:rPr>
        <w:fldChar w:fldCharType="end"/>
      </w:r>
      <w:r w:rsidRPr="00006A07">
        <w:rPr>
          <w:lang w:val="bg-BG" w:eastAsia="en-US"/>
        </w:rPr>
        <w:t xml:space="preserve">.  Жалбоподателите всъщност претендират, че отказите на държавните власти да им разрешат достъп до експериментален продукт, който според тях е бил потенциално животоспасяващ, е съставлявал нечовешко и унизително отношение, за което Държавата е отговорна, тъй като по този начин не ги е предпазила от страданието, произтичащо от крайните стадии на заболяването им. Въпреки това, както в делото </w:t>
      </w:r>
      <w:proofErr w:type="spellStart"/>
      <w:r w:rsidRPr="00006A07">
        <w:rPr>
          <w:i/>
          <w:iCs/>
          <w:lang w:val="bg-BG" w:eastAsia="en-US"/>
        </w:rPr>
        <w:t>Pretty</w:t>
      </w:r>
      <w:proofErr w:type="spellEnd"/>
      <w:r w:rsidRPr="00006A07">
        <w:rPr>
          <w:lang w:val="bg-BG" w:eastAsia="en-US"/>
        </w:rPr>
        <w:t xml:space="preserve"> (цитирано по-горе, § 54), Съдът счита, че тази претенция разширява тълкуването на концепцията за нечовешко или унизително отношение, която съдът не може да приеме. Не може да се каже, че като са отказали на жалбоподателите достъп до продукт – дори ако е потенциално животоспасяващ – чиято безопасност и ефикасност все още е под съмнение, държавните власти пряко са допринесли за физическото страдание на жалбоподателите. Вярно е, че отказите, доколкото те са възпрепятствали жалбоподателите да </w:t>
      </w:r>
      <w:proofErr w:type="spellStart"/>
      <w:r w:rsidRPr="00006A07">
        <w:rPr>
          <w:lang w:val="bg-BG" w:eastAsia="en-US"/>
        </w:rPr>
        <w:t>прибегнат</w:t>
      </w:r>
      <w:proofErr w:type="spellEnd"/>
      <w:r w:rsidRPr="00006A07">
        <w:rPr>
          <w:lang w:val="bg-BG" w:eastAsia="en-US"/>
        </w:rPr>
        <w:t xml:space="preserve"> до продукт, за който са вярвали, че може да подобри шансовете им за лечение и оцеляване, са им причинили психическо страдание, по-специално с оглед на факта, че както изглежда, продуктът по изключение е бил достъпен в други държави. Въпреки това Съдът не счита, че отказът на държавните власти е достигнал достатъчен праг на суровост, за да бъде окачествен като нечовешко отношение (вж., </w:t>
      </w:r>
      <w:proofErr w:type="spellStart"/>
      <w:r w:rsidRPr="00006A07">
        <w:rPr>
          <w:i/>
          <w:iCs/>
          <w:lang w:val="bg-BG" w:eastAsia="en-US"/>
        </w:rPr>
        <w:t>mutatis</w:t>
      </w:r>
      <w:proofErr w:type="spellEnd"/>
      <w:r w:rsidRPr="00006A07">
        <w:rPr>
          <w:i/>
          <w:iCs/>
          <w:lang w:val="bg-BG" w:eastAsia="en-US"/>
        </w:rPr>
        <w:t xml:space="preserve"> </w:t>
      </w:r>
      <w:proofErr w:type="spellStart"/>
      <w:r w:rsidRPr="00006A07">
        <w:rPr>
          <w:i/>
          <w:iCs/>
          <w:lang w:val="bg-BG" w:eastAsia="en-US"/>
        </w:rPr>
        <w:t>mutandis</w:t>
      </w:r>
      <w:proofErr w:type="spellEnd"/>
      <w:r w:rsidRPr="00006A07">
        <w:rPr>
          <w:lang w:val="bg-BG" w:eastAsia="en-US"/>
        </w:rPr>
        <w:t xml:space="preserve">, </w:t>
      </w:r>
      <w:r w:rsidRPr="00006A07">
        <w:rPr>
          <w:i/>
          <w:iCs/>
          <w:lang w:val="bg-BG" w:eastAsia="en-US"/>
        </w:rPr>
        <w:t xml:space="preserve">A, B </w:t>
      </w:r>
      <w:proofErr w:type="spellStart"/>
      <w:r w:rsidRPr="00006A07">
        <w:rPr>
          <w:i/>
          <w:iCs/>
          <w:lang w:val="bg-BG" w:eastAsia="en-US"/>
        </w:rPr>
        <w:t>and</w:t>
      </w:r>
      <w:proofErr w:type="spellEnd"/>
      <w:r w:rsidRPr="00006A07">
        <w:rPr>
          <w:i/>
          <w:iCs/>
          <w:lang w:val="bg-BG" w:eastAsia="en-US"/>
        </w:rPr>
        <w:t xml:space="preserve"> C v. </w:t>
      </w:r>
      <w:proofErr w:type="spellStart"/>
      <w:r w:rsidRPr="00006A07">
        <w:rPr>
          <w:i/>
          <w:iCs/>
          <w:lang w:val="bg-BG" w:eastAsia="en-US"/>
        </w:rPr>
        <w:t>Ireland</w:t>
      </w:r>
      <w:proofErr w:type="spellEnd"/>
      <w:r w:rsidRPr="00006A07">
        <w:rPr>
          <w:lang w:val="bg-BG" w:eastAsia="en-US"/>
        </w:rPr>
        <w:t xml:space="preserve">, цитирано по-горе, §§ 163 </w:t>
      </w:r>
      <w:r w:rsidRPr="00006A07">
        <w:rPr>
          <w:lang w:val="bg-BG" w:eastAsia="en-US"/>
        </w:rPr>
        <w:noBreakHyphen/>
        <w:t xml:space="preserve"> 64). Той отбелязва в тази връзка, че член 3 не възлага задължение на Договарящите държави да намалят несъответствията между нивата на здравно обслужване, налични в отделните държави (вж., </w:t>
      </w:r>
      <w:proofErr w:type="spellStart"/>
      <w:r w:rsidRPr="00006A07">
        <w:rPr>
          <w:i/>
          <w:iCs/>
          <w:lang w:val="bg-BG" w:eastAsia="en-US"/>
        </w:rPr>
        <w:t>mutatis</w:t>
      </w:r>
      <w:proofErr w:type="spellEnd"/>
      <w:r w:rsidRPr="00006A07">
        <w:rPr>
          <w:i/>
          <w:iCs/>
          <w:lang w:val="bg-BG" w:eastAsia="en-US"/>
        </w:rPr>
        <w:t xml:space="preserve"> </w:t>
      </w:r>
      <w:proofErr w:type="spellStart"/>
      <w:r w:rsidRPr="00006A07">
        <w:rPr>
          <w:i/>
          <w:iCs/>
          <w:lang w:val="bg-BG" w:eastAsia="en-US"/>
        </w:rPr>
        <w:t>mutandis</w:t>
      </w:r>
      <w:proofErr w:type="spellEnd"/>
      <w:r w:rsidRPr="00006A07">
        <w:rPr>
          <w:lang w:val="bg-BG" w:eastAsia="en-US"/>
        </w:rPr>
        <w:t xml:space="preserve">, </w:t>
      </w:r>
      <w:r w:rsidRPr="00006A07">
        <w:rPr>
          <w:i/>
          <w:iCs/>
          <w:lang w:val="bg-BG" w:eastAsia="en-US"/>
        </w:rPr>
        <w:t xml:space="preserve">N. v. </w:t>
      </w:r>
      <w:proofErr w:type="spellStart"/>
      <w:r w:rsidRPr="00006A07">
        <w:rPr>
          <w:i/>
          <w:iCs/>
          <w:lang w:val="bg-BG" w:eastAsia="en-US"/>
        </w:rPr>
        <w:t>the</w:t>
      </w:r>
      <w:proofErr w:type="spellEnd"/>
      <w:r w:rsidRPr="00006A07">
        <w:rPr>
          <w:i/>
          <w:iCs/>
          <w:lang w:val="bg-BG" w:eastAsia="en-US"/>
        </w:rPr>
        <w:t xml:space="preserve"> </w:t>
      </w:r>
      <w:proofErr w:type="spellStart"/>
      <w:r w:rsidRPr="00006A07">
        <w:rPr>
          <w:i/>
          <w:iCs/>
          <w:lang w:val="bg-BG" w:eastAsia="en-US"/>
        </w:rPr>
        <w:t>United</w:t>
      </w:r>
      <w:proofErr w:type="spellEnd"/>
      <w:r w:rsidRPr="00006A07">
        <w:rPr>
          <w:i/>
          <w:iCs/>
          <w:lang w:val="bg-BG" w:eastAsia="en-US"/>
        </w:rPr>
        <w:t xml:space="preserve"> </w:t>
      </w:r>
      <w:proofErr w:type="spellStart"/>
      <w:r w:rsidRPr="00006A07">
        <w:rPr>
          <w:i/>
          <w:iCs/>
          <w:lang w:val="bg-BG" w:eastAsia="en-US"/>
        </w:rPr>
        <w:t>Kingdom</w:t>
      </w:r>
      <w:proofErr w:type="spellEnd"/>
      <w:r w:rsidRPr="00006A07">
        <w:rPr>
          <w:lang w:val="bg-BG" w:eastAsia="en-US"/>
        </w:rPr>
        <w:t xml:space="preserve">, цитирано по-горе, § 44). </w:t>
      </w:r>
      <w:r w:rsidRPr="00006A07">
        <w:rPr>
          <w:lang w:val="bg-BG" w:eastAsia="en-US"/>
        </w:rPr>
        <w:lastRenderedPageBreak/>
        <w:t>На последно място, Съдът не счита, че отказите могат да се разглеждат като унизителни или уронващи достойнството на  жалбоподателите.</w:t>
      </w:r>
    </w:p>
    <w:p w:rsidR="0095532B" w:rsidRPr="00006A07" w:rsidRDefault="0095532B" w:rsidP="008D7A78">
      <w:pPr>
        <w:pStyle w:val="JuPara"/>
        <w:rPr>
          <w:lang w:val="bg-BG" w:eastAsia="en-US"/>
        </w:rPr>
      </w:pPr>
      <w:r w:rsidRPr="00006A07">
        <w:rPr>
          <w:lang w:val="bg-BG" w:eastAsia="en-US"/>
        </w:rPr>
        <w:fldChar w:fldCharType="begin"/>
      </w:r>
      <w:r w:rsidRPr="00006A07">
        <w:rPr>
          <w:lang w:val="bg-BG" w:eastAsia="en-US"/>
        </w:rPr>
        <w:instrText xml:space="preserve"> SEQ level0 \*arabic </w:instrText>
      </w:r>
      <w:r w:rsidRPr="00006A07">
        <w:rPr>
          <w:lang w:val="bg-BG" w:eastAsia="en-US"/>
        </w:rPr>
        <w:fldChar w:fldCharType="separate"/>
      </w:r>
      <w:r w:rsidRPr="00006A07">
        <w:rPr>
          <w:noProof/>
          <w:lang w:val="bg-BG" w:eastAsia="en-US"/>
        </w:rPr>
        <w:t>114</w:t>
      </w:r>
      <w:r w:rsidRPr="00006A07">
        <w:rPr>
          <w:lang w:val="bg-BG" w:eastAsia="en-US"/>
        </w:rPr>
        <w:fldChar w:fldCharType="end"/>
      </w:r>
      <w:r w:rsidRPr="00006A07">
        <w:rPr>
          <w:lang w:val="bg-BG" w:eastAsia="en-US"/>
        </w:rPr>
        <w:t xml:space="preserve">.  Въпросът дали отказите неправилно са засегнали правото на жалбоподателите на зачитане на физическата им неприкосновеност, ще бъде разгледан от Съда по-долу, във връзка с член 8 от Конвенцията (вж., </w:t>
      </w:r>
      <w:proofErr w:type="spellStart"/>
      <w:r w:rsidRPr="00006A07">
        <w:rPr>
          <w:i/>
          <w:iCs/>
          <w:lang w:val="bg-BG" w:eastAsia="en-US"/>
        </w:rPr>
        <w:t>mutatis</w:t>
      </w:r>
      <w:proofErr w:type="spellEnd"/>
      <w:r w:rsidRPr="00006A07">
        <w:rPr>
          <w:i/>
          <w:iCs/>
          <w:lang w:val="bg-BG" w:eastAsia="en-US"/>
        </w:rPr>
        <w:t xml:space="preserve"> </w:t>
      </w:r>
      <w:proofErr w:type="spellStart"/>
      <w:r w:rsidRPr="00006A07">
        <w:rPr>
          <w:i/>
          <w:iCs/>
          <w:lang w:val="bg-BG" w:eastAsia="en-US"/>
        </w:rPr>
        <w:t>mutandis</w:t>
      </w:r>
      <w:proofErr w:type="spellEnd"/>
      <w:r w:rsidRPr="00006A07">
        <w:rPr>
          <w:lang w:val="bg-BG" w:eastAsia="en-US"/>
        </w:rPr>
        <w:t xml:space="preserve">, </w:t>
      </w:r>
      <w:proofErr w:type="spellStart"/>
      <w:r w:rsidRPr="00006A07">
        <w:rPr>
          <w:i/>
          <w:iCs/>
          <w:lang w:val="bg-BG" w:eastAsia="en-US"/>
        </w:rPr>
        <w:t>Tysiąc</w:t>
      </w:r>
      <w:proofErr w:type="spellEnd"/>
      <w:r w:rsidRPr="00006A07">
        <w:rPr>
          <w:i/>
          <w:iCs/>
          <w:lang w:val="bg-BG" w:eastAsia="en-US"/>
        </w:rPr>
        <w:t xml:space="preserve"> v. </w:t>
      </w:r>
      <w:proofErr w:type="spellStart"/>
      <w:r w:rsidRPr="00006A07">
        <w:rPr>
          <w:i/>
          <w:iCs/>
          <w:lang w:val="bg-BG" w:eastAsia="en-US"/>
        </w:rPr>
        <w:t>Poland</w:t>
      </w:r>
      <w:proofErr w:type="spellEnd"/>
      <w:r w:rsidRPr="00006A07">
        <w:rPr>
          <w:lang w:val="bg-BG" w:eastAsia="en-US"/>
        </w:rPr>
        <w:t xml:space="preserve">, </w:t>
      </w:r>
      <w:proofErr w:type="spellStart"/>
      <w:r w:rsidRPr="00006A07">
        <w:rPr>
          <w:lang w:val="bg-BG" w:eastAsia="en-US"/>
        </w:rPr>
        <w:t>no</w:t>
      </w:r>
      <w:proofErr w:type="spellEnd"/>
      <w:r w:rsidRPr="00006A07">
        <w:rPr>
          <w:lang w:val="bg-BG" w:eastAsia="en-US"/>
        </w:rPr>
        <w:t>. 5410/03, § 66, ECHR 2007</w:t>
      </w:r>
      <w:r w:rsidRPr="00006A07">
        <w:rPr>
          <w:lang w:val="bg-BG" w:eastAsia="en-US"/>
        </w:rPr>
        <w:noBreakHyphen/>
        <w:t xml:space="preserve">I, и </w:t>
      </w:r>
      <w:r w:rsidRPr="00006A07">
        <w:rPr>
          <w:i/>
          <w:iCs/>
          <w:lang w:val="bg-BG" w:eastAsia="en-US"/>
        </w:rPr>
        <w:t xml:space="preserve">L. v. </w:t>
      </w:r>
      <w:proofErr w:type="spellStart"/>
      <w:r w:rsidRPr="00006A07">
        <w:rPr>
          <w:i/>
          <w:iCs/>
          <w:lang w:val="bg-BG" w:eastAsia="en-US"/>
        </w:rPr>
        <w:t>Lithuania</w:t>
      </w:r>
      <w:proofErr w:type="spellEnd"/>
      <w:r w:rsidRPr="00006A07">
        <w:rPr>
          <w:lang w:val="bg-BG" w:eastAsia="en-US"/>
        </w:rPr>
        <w:t xml:space="preserve">, </w:t>
      </w:r>
      <w:proofErr w:type="spellStart"/>
      <w:r w:rsidRPr="00006A07">
        <w:rPr>
          <w:lang w:val="bg-BG" w:eastAsia="en-US"/>
        </w:rPr>
        <w:t>no</w:t>
      </w:r>
      <w:proofErr w:type="spellEnd"/>
      <w:r w:rsidRPr="00006A07">
        <w:rPr>
          <w:lang w:val="bg-BG" w:eastAsia="en-US"/>
        </w:rPr>
        <w:t>. 27527/03, § 47, ECHR 2007</w:t>
      </w:r>
      <w:r w:rsidRPr="00006A07">
        <w:rPr>
          <w:lang w:val="bg-BG" w:eastAsia="en-US"/>
        </w:rPr>
        <w:noBreakHyphen/>
        <w:t>IV).</w:t>
      </w:r>
    </w:p>
    <w:p w:rsidR="0095532B" w:rsidRPr="00006A07" w:rsidRDefault="0095532B" w:rsidP="008D7A78">
      <w:pPr>
        <w:pStyle w:val="JuPara"/>
        <w:rPr>
          <w:lang w:val="bg-BG"/>
        </w:rPr>
      </w:pPr>
      <w:r w:rsidRPr="00006A07">
        <w:rPr>
          <w:lang w:val="bg-BG"/>
        </w:rPr>
        <w:fldChar w:fldCharType="begin"/>
      </w:r>
      <w:r w:rsidRPr="00006A07">
        <w:rPr>
          <w:lang w:val="bg-BG"/>
        </w:rPr>
        <w:instrText xml:space="preserve"> SEQ level0 \*arabic </w:instrText>
      </w:r>
      <w:r w:rsidRPr="00006A07">
        <w:rPr>
          <w:lang w:val="bg-BG"/>
        </w:rPr>
        <w:fldChar w:fldCharType="separate"/>
      </w:r>
      <w:r w:rsidRPr="00006A07">
        <w:rPr>
          <w:noProof/>
          <w:lang w:val="bg-BG"/>
        </w:rPr>
        <w:t>115</w:t>
      </w:r>
      <w:r w:rsidRPr="00006A07">
        <w:rPr>
          <w:lang w:val="bg-BG"/>
        </w:rPr>
        <w:fldChar w:fldCharType="end"/>
      </w:r>
      <w:r w:rsidRPr="00006A07">
        <w:rPr>
          <w:lang w:val="bg-BG"/>
        </w:rPr>
        <w:t>.  Следователно не е налице нарушение на член 3 от Конвенцията.</w:t>
      </w:r>
    </w:p>
    <w:p w:rsidR="0095532B" w:rsidRPr="00006A07" w:rsidRDefault="0095532B" w:rsidP="008D7A78">
      <w:pPr>
        <w:pStyle w:val="JuH1"/>
        <w:rPr>
          <w:lang w:val="bg-BG"/>
        </w:rPr>
      </w:pPr>
      <w:r w:rsidRPr="00006A07">
        <w:rPr>
          <w:lang w:val="bg-BG"/>
        </w:rPr>
        <w:t>4.  Твърдяно нарушение на член 8 от Конвенцията</w:t>
      </w:r>
    </w:p>
    <w:p w:rsidR="0095532B" w:rsidRPr="00006A07" w:rsidRDefault="0095532B" w:rsidP="008D7A78">
      <w:pPr>
        <w:pStyle w:val="JuHa0"/>
        <w:rPr>
          <w:lang w:val="bg-BG"/>
        </w:rPr>
      </w:pPr>
      <w:r w:rsidRPr="00006A07">
        <w:rPr>
          <w:lang w:val="bg-BG"/>
        </w:rPr>
        <w:t>a)  Приложимост на член 8</w:t>
      </w:r>
    </w:p>
    <w:p w:rsidR="0095532B" w:rsidRPr="00006A07" w:rsidRDefault="0095532B" w:rsidP="008D7A78">
      <w:pPr>
        <w:pStyle w:val="JuPara"/>
        <w:rPr>
          <w:lang w:val="bg-BG" w:eastAsia="en-US"/>
        </w:rPr>
      </w:pPr>
      <w:r w:rsidRPr="00006A07">
        <w:rPr>
          <w:lang w:val="bg-BG"/>
        </w:rPr>
        <w:fldChar w:fldCharType="begin"/>
      </w:r>
      <w:r w:rsidRPr="00006A07">
        <w:rPr>
          <w:lang w:val="bg-BG"/>
        </w:rPr>
        <w:instrText xml:space="preserve"> SEQ level0 \*arabic </w:instrText>
      </w:r>
      <w:r w:rsidRPr="00006A07">
        <w:rPr>
          <w:lang w:val="bg-BG"/>
        </w:rPr>
        <w:fldChar w:fldCharType="separate"/>
      </w:r>
      <w:r w:rsidRPr="00006A07">
        <w:rPr>
          <w:noProof/>
          <w:lang w:val="bg-BG"/>
        </w:rPr>
        <w:t>116</w:t>
      </w:r>
      <w:r w:rsidRPr="00006A07">
        <w:rPr>
          <w:lang w:val="bg-BG"/>
        </w:rPr>
        <w:fldChar w:fldCharType="end"/>
      </w:r>
      <w:r w:rsidRPr="00006A07">
        <w:rPr>
          <w:lang w:val="bg-BG"/>
        </w:rPr>
        <w:t xml:space="preserve">.  Същността на оплакването на жалбоподателите се отнася до регулаторно ограничение на възможността им да избират, като се консултират с лекарите си, начина, по който следва да бъдат лекувани с оглед на възможното удължаване на живота им. Това оплакване очевидно трябва да бъде разгледано в рамките на член 8, чието тълкувание, доколкото се отнася до понятието „личен живот“, е подкрепено от идеите за личната автономия и качеството на живот (вж. </w:t>
      </w:r>
      <w:proofErr w:type="spellStart"/>
      <w:r w:rsidRPr="00006A07">
        <w:rPr>
          <w:i/>
          <w:iCs/>
          <w:lang w:val="bg-BG"/>
        </w:rPr>
        <w:t>Pretty</w:t>
      </w:r>
      <w:proofErr w:type="spellEnd"/>
      <w:r w:rsidRPr="00006A07">
        <w:rPr>
          <w:lang w:val="bg-BG"/>
        </w:rPr>
        <w:t xml:space="preserve">, цитирано по-горе, §§ 61 </w:t>
      </w:r>
      <w:proofErr w:type="spellStart"/>
      <w:r w:rsidRPr="00006A07">
        <w:rPr>
          <w:i/>
          <w:iCs/>
          <w:lang w:val="bg-BG"/>
        </w:rPr>
        <w:t>in</w:t>
      </w:r>
      <w:proofErr w:type="spellEnd"/>
      <w:r w:rsidRPr="00006A07">
        <w:rPr>
          <w:i/>
          <w:iCs/>
          <w:lang w:val="bg-BG"/>
        </w:rPr>
        <w:t xml:space="preserve"> </w:t>
      </w:r>
      <w:proofErr w:type="spellStart"/>
      <w:r w:rsidRPr="00006A07">
        <w:rPr>
          <w:i/>
          <w:iCs/>
          <w:lang w:val="bg-BG"/>
        </w:rPr>
        <w:t>fine</w:t>
      </w:r>
      <w:proofErr w:type="spellEnd"/>
      <w:r w:rsidRPr="00006A07">
        <w:rPr>
          <w:lang w:val="bg-BG"/>
        </w:rPr>
        <w:t xml:space="preserve"> </w:t>
      </w:r>
      <w:proofErr w:type="spellStart"/>
      <w:r w:rsidRPr="00006A07">
        <w:rPr>
          <w:lang w:val="bg-BG"/>
        </w:rPr>
        <w:t>and</w:t>
      </w:r>
      <w:proofErr w:type="spellEnd"/>
      <w:r w:rsidRPr="00006A07">
        <w:rPr>
          <w:lang w:val="bg-BG"/>
        </w:rPr>
        <w:t xml:space="preserve"> 65, </w:t>
      </w:r>
      <w:proofErr w:type="spellStart"/>
      <w:r w:rsidRPr="00006A07">
        <w:rPr>
          <w:lang w:val="bg-BG"/>
        </w:rPr>
        <w:t>and</w:t>
      </w:r>
      <w:proofErr w:type="spellEnd"/>
      <w:r w:rsidRPr="00006A07">
        <w:rPr>
          <w:lang w:val="bg-BG"/>
        </w:rPr>
        <w:t xml:space="preserve"> </w:t>
      </w:r>
      <w:proofErr w:type="spellStart"/>
      <w:r w:rsidRPr="00006A07">
        <w:rPr>
          <w:i/>
          <w:iCs/>
          <w:lang w:val="bg-BG" w:eastAsia="en-US"/>
        </w:rPr>
        <w:t>Christine</w:t>
      </w:r>
      <w:proofErr w:type="spellEnd"/>
      <w:r w:rsidRPr="00006A07">
        <w:rPr>
          <w:i/>
          <w:iCs/>
          <w:lang w:val="bg-BG" w:eastAsia="en-US"/>
        </w:rPr>
        <w:t xml:space="preserve"> </w:t>
      </w:r>
      <w:proofErr w:type="spellStart"/>
      <w:r w:rsidRPr="00006A07">
        <w:rPr>
          <w:i/>
          <w:iCs/>
          <w:lang w:val="bg-BG" w:eastAsia="en-US"/>
        </w:rPr>
        <w:t>Goodwin</w:t>
      </w:r>
      <w:proofErr w:type="spellEnd"/>
      <w:r w:rsidRPr="00006A07">
        <w:rPr>
          <w:i/>
          <w:iCs/>
          <w:lang w:val="bg-BG" w:eastAsia="en-US"/>
        </w:rPr>
        <w:t xml:space="preserve"> v. </w:t>
      </w:r>
      <w:proofErr w:type="spellStart"/>
      <w:r w:rsidRPr="00006A07">
        <w:rPr>
          <w:i/>
          <w:iCs/>
          <w:lang w:val="bg-BG" w:eastAsia="en-US"/>
        </w:rPr>
        <w:t>the</w:t>
      </w:r>
      <w:proofErr w:type="spellEnd"/>
      <w:r w:rsidRPr="00006A07">
        <w:rPr>
          <w:i/>
          <w:iCs/>
          <w:lang w:val="bg-BG" w:eastAsia="en-US"/>
        </w:rPr>
        <w:t xml:space="preserve"> </w:t>
      </w:r>
      <w:proofErr w:type="spellStart"/>
      <w:r w:rsidRPr="00006A07">
        <w:rPr>
          <w:i/>
          <w:iCs/>
          <w:lang w:val="bg-BG" w:eastAsia="en-US"/>
        </w:rPr>
        <w:t>United</w:t>
      </w:r>
      <w:proofErr w:type="spellEnd"/>
      <w:r w:rsidRPr="00006A07">
        <w:rPr>
          <w:i/>
          <w:iCs/>
          <w:lang w:val="bg-BG" w:eastAsia="en-US"/>
        </w:rPr>
        <w:t xml:space="preserve"> </w:t>
      </w:r>
      <w:proofErr w:type="spellStart"/>
      <w:r w:rsidRPr="00006A07">
        <w:rPr>
          <w:i/>
          <w:iCs/>
          <w:lang w:val="bg-BG" w:eastAsia="en-US"/>
        </w:rPr>
        <w:t>Kingdom</w:t>
      </w:r>
      <w:proofErr w:type="spellEnd"/>
      <w:r w:rsidRPr="00006A07">
        <w:rPr>
          <w:lang w:val="bg-BG" w:eastAsia="en-US"/>
        </w:rPr>
        <w:t xml:space="preserve"> [GC], </w:t>
      </w:r>
      <w:proofErr w:type="spellStart"/>
      <w:r w:rsidRPr="00006A07">
        <w:rPr>
          <w:lang w:val="bg-BG" w:eastAsia="en-US"/>
        </w:rPr>
        <w:t>no</w:t>
      </w:r>
      <w:proofErr w:type="spellEnd"/>
      <w:r w:rsidRPr="00006A07">
        <w:rPr>
          <w:lang w:val="bg-BG" w:eastAsia="en-US"/>
        </w:rPr>
        <w:t>. 28957/95, § 90, ECHR 2002</w:t>
      </w:r>
      <w:r w:rsidRPr="00006A07">
        <w:rPr>
          <w:lang w:val="bg-BG" w:eastAsia="en-US"/>
        </w:rPr>
        <w:noBreakHyphen/>
        <w:t>VI</w:t>
      </w:r>
      <w:r w:rsidRPr="00006A07">
        <w:rPr>
          <w:lang w:val="bg-BG"/>
        </w:rPr>
        <w:t xml:space="preserve">). Именно във връзка с тази разпоредба Съдът и предишната Комисия най-често са изследвали степента, в която Държавите могат да използват задължителните си правомощия, за да предпазват хората от последиците от собствените им действия, дори когато тези действия съставляват опасност за здравето или имат </w:t>
      </w:r>
      <w:proofErr w:type="spellStart"/>
      <w:r w:rsidRPr="00006A07">
        <w:rPr>
          <w:lang w:val="bg-BG"/>
        </w:rPr>
        <w:t>животозастрашаващ</w:t>
      </w:r>
      <w:proofErr w:type="spellEnd"/>
      <w:r w:rsidRPr="00006A07">
        <w:rPr>
          <w:lang w:val="bg-BG"/>
        </w:rPr>
        <w:t xml:space="preserve"> характер (вж. например относно участието в садомазохистични действия по взаимно съгласие, </w:t>
      </w:r>
      <w:proofErr w:type="spellStart"/>
      <w:r w:rsidRPr="00006A07">
        <w:rPr>
          <w:i/>
          <w:iCs/>
          <w:lang w:val="bg-BG" w:eastAsia="en-US"/>
        </w:rPr>
        <w:t>Laskey</w:t>
      </w:r>
      <w:proofErr w:type="spellEnd"/>
      <w:r w:rsidRPr="00006A07">
        <w:rPr>
          <w:i/>
          <w:iCs/>
          <w:lang w:val="bg-BG" w:eastAsia="en-US"/>
        </w:rPr>
        <w:t xml:space="preserve">, </w:t>
      </w:r>
      <w:proofErr w:type="spellStart"/>
      <w:r w:rsidRPr="00006A07">
        <w:rPr>
          <w:i/>
          <w:iCs/>
          <w:lang w:val="bg-BG" w:eastAsia="en-US"/>
        </w:rPr>
        <w:t>Jaggard</w:t>
      </w:r>
      <w:proofErr w:type="spellEnd"/>
      <w:r w:rsidRPr="00006A07">
        <w:rPr>
          <w:i/>
          <w:iCs/>
          <w:lang w:val="bg-BG" w:eastAsia="en-US"/>
        </w:rPr>
        <w:t xml:space="preserve"> </w:t>
      </w:r>
      <w:proofErr w:type="spellStart"/>
      <w:r w:rsidRPr="00006A07">
        <w:rPr>
          <w:i/>
          <w:iCs/>
          <w:lang w:val="bg-BG" w:eastAsia="en-US"/>
        </w:rPr>
        <w:t>and</w:t>
      </w:r>
      <w:proofErr w:type="spellEnd"/>
      <w:r w:rsidRPr="00006A07">
        <w:rPr>
          <w:i/>
          <w:iCs/>
          <w:lang w:val="bg-BG" w:eastAsia="en-US"/>
        </w:rPr>
        <w:t xml:space="preserve"> </w:t>
      </w:r>
      <w:proofErr w:type="spellStart"/>
      <w:r w:rsidRPr="00006A07">
        <w:rPr>
          <w:i/>
          <w:iCs/>
          <w:lang w:val="bg-BG" w:eastAsia="en-US"/>
        </w:rPr>
        <w:t>Brown</w:t>
      </w:r>
      <w:proofErr w:type="spellEnd"/>
      <w:r w:rsidRPr="00006A07">
        <w:rPr>
          <w:i/>
          <w:iCs/>
          <w:lang w:val="bg-BG" w:eastAsia="en-US"/>
        </w:rPr>
        <w:t xml:space="preserve"> v. </w:t>
      </w:r>
      <w:proofErr w:type="spellStart"/>
      <w:r w:rsidRPr="00006A07">
        <w:rPr>
          <w:i/>
          <w:iCs/>
          <w:lang w:val="bg-BG" w:eastAsia="en-US"/>
        </w:rPr>
        <w:t>the</w:t>
      </w:r>
      <w:proofErr w:type="spellEnd"/>
      <w:r w:rsidRPr="00006A07">
        <w:rPr>
          <w:i/>
          <w:iCs/>
          <w:lang w:val="bg-BG" w:eastAsia="en-US"/>
        </w:rPr>
        <w:t xml:space="preserve"> </w:t>
      </w:r>
      <w:proofErr w:type="spellStart"/>
      <w:r w:rsidRPr="00006A07">
        <w:rPr>
          <w:i/>
          <w:iCs/>
          <w:lang w:val="bg-BG" w:eastAsia="en-US"/>
        </w:rPr>
        <w:t>United</w:t>
      </w:r>
      <w:proofErr w:type="spellEnd"/>
      <w:r w:rsidRPr="00006A07">
        <w:rPr>
          <w:i/>
          <w:iCs/>
          <w:lang w:val="bg-BG" w:eastAsia="en-US"/>
        </w:rPr>
        <w:t xml:space="preserve"> </w:t>
      </w:r>
      <w:proofErr w:type="spellStart"/>
      <w:r w:rsidRPr="00006A07">
        <w:rPr>
          <w:i/>
          <w:iCs/>
          <w:lang w:val="bg-BG" w:eastAsia="en-US"/>
        </w:rPr>
        <w:t>Kingdom</w:t>
      </w:r>
      <w:proofErr w:type="spellEnd"/>
      <w:r w:rsidRPr="00006A07">
        <w:rPr>
          <w:lang w:val="bg-BG" w:eastAsia="en-US"/>
        </w:rPr>
        <w:t xml:space="preserve">, 19 февруари 1997 г., §§ 35 </w:t>
      </w:r>
      <w:r w:rsidRPr="00006A07">
        <w:rPr>
          <w:lang w:val="bg-BG" w:eastAsia="en-US"/>
        </w:rPr>
        <w:noBreakHyphen/>
        <w:t xml:space="preserve"> 36, </w:t>
      </w:r>
      <w:proofErr w:type="spellStart"/>
      <w:r w:rsidRPr="00006A07">
        <w:rPr>
          <w:i/>
          <w:iCs/>
          <w:lang w:val="bg-BG" w:eastAsia="en-US"/>
        </w:rPr>
        <w:t>Reports</w:t>
      </w:r>
      <w:proofErr w:type="spellEnd"/>
      <w:r w:rsidRPr="00006A07">
        <w:rPr>
          <w:i/>
          <w:iCs/>
          <w:lang w:val="bg-BG" w:eastAsia="en-US"/>
        </w:rPr>
        <w:t xml:space="preserve"> </w:t>
      </w:r>
      <w:r w:rsidRPr="00006A07">
        <w:rPr>
          <w:lang w:val="bg-BG" w:eastAsia="en-US"/>
        </w:rPr>
        <w:t>1997</w:t>
      </w:r>
      <w:r w:rsidRPr="00006A07">
        <w:rPr>
          <w:lang w:val="bg-BG" w:eastAsia="en-US"/>
        </w:rPr>
        <w:noBreakHyphen/>
        <w:t xml:space="preserve">I, и </w:t>
      </w:r>
      <w:r w:rsidRPr="00006A07">
        <w:rPr>
          <w:i/>
          <w:iCs/>
          <w:lang w:val="bg-BG" w:eastAsia="en-US"/>
        </w:rPr>
        <w:t xml:space="preserve">K.A. </w:t>
      </w:r>
      <w:proofErr w:type="spellStart"/>
      <w:r w:rsidRPr="00006A07">
        <w:rPr>
          <w:i/>
          <w:iCs/>
          <w:lang w:val="bg-BG" w:eastAsia="en-US"/>
        </w:rPr>
        <w:t>and</w:t>
      </w:r>
      <w:proofErr w:type="spellEnd"/>
      <w:r w:rsidRPr="00006A07">
        <w:rPr>
          <w:i/>
          <w:iCs/>
          <w:lang w:val="bg-BG" w:eastAsia="en-US"/>
        </w:rPr>
        <w:t xml:space="preserve"> A.D. v. </w:t>
      </w:r>
      <w:proofErr w:type="spellStart"/>
      <w:r w:rsidRPr="00006A07">
        <w:rPr>
          <w:i/>
          <w:iCs/>
          <w:lang w:val="bg-BG" w:eastAsia="en-US"/>
        </w:rPr>
        <w:t>Belgium</w:t>
      </w:r>
      <w:proofErr w:type="spellEnd"/>
      <w:r w:rsidRPr="00006A07">
        <w:rPr>
          <w:lang w:val="bg-BG" w:eastAsia="en-US"/>
        </w:rPr>
        <w:t xml:space="preserve">, </w:t>
      </w:r>
      <w:proofErr w:type="spellStart"/>
      <w:r w:rsidRPr="00006A07">
        <w:rPr>
          <w:lang w:val="bg-BG" w:eastAsia="en-US"/>
        </w:rPr>
        <w:t>no</w:t>
      </w:r>
      <w:proofErr w:type="spellEnd"/>
      <w:r w:rsidRPr="00006A07">
        <w:rPr>
          <w:lang w:val="bg-BG" w:eastAsia="en-US"/>
        </w:rPr>
        <w:t>. 42758/98 и 45558/99, §§ 78 и 83, 17 февруари 2005 г.; относно налагането на медицинско лечение при липса на съгласие</w:t>
      </w:r>
      <w:r w:rsidRPr="00006A07">
        <w:rPr>
          <w:lang w:val="bg-BG"/>
        </w:rPr>
        <w:t xml:space="preserve">, </w:t>
      </w:r>
      <w:proofErr w:type="spellStart"/>
      <w:r w:rsidRPr="00006A07">
        <w:rPr>
          <w:i/>
          <w:iCs/>
          <w:lang w:val="bg-BG"/>
        </w:rPr>
        <w:t>Acmanne</w:t>
      </w:r>
      <w:proofErr w:type="spellEnd"/>
      <w:r w:rsidRPr="00006A07">
        <w:rPr>
          <w:i/>
          <w:iCs/>
          <w:lang w:val="bg-BG"/>
        </w:rPr>
        <w:t xml:space="preserve"> </w:t>
      </w:r>
      <w:proofErr w:type="spellStart"/>
      <w:r w:rsidRPr="00006A07">
        <w:rPr>
          <w:i/>
          <w:iCs/>
          <w:lang w:val="bg-BG"/>
        </w:rPr>
        <w:t>and</w:t>
      </w:r>
      <w:proofErr w:type="spellEnd"/>
      <w:r w:rsidRPr="00006A07">
        <w:rPr>
          <w:i/>
          <w:iCs/>
          <w:lang w:val="bg-BG"/>
        </w:rPr>
        <w:t xml:space="preserve"> </w:t>
      </w:r>
      <w:proofErr w:type="spellStart"/>
      <w:r w:rsidRPr="00006A07">
        <w:rPr>
          <w:i/>
          <w:iCs/>
          <w:lang w:val="bg-BG"/>
        </w:rPr>
        <w:t>Others</w:t>
      </w:r>
      <w:proofErr w:type="spellEnd"/>
      <w:r w:rsidRPr="00006A07">
        <w:rPr>
          <w:i/>
          <w:iCs/>
          <w:lang w:val="bg-BG"/>
        </w:rPr>
        <w:t xml:space="preserve"> v. </w:t>
      </w:r>
      <w:proofErr w:type="spellStart"/>
      <w:r w:rsidRPr="00006A07">
        <w:rPr>
          <w:i/>
          <w:iCs/>
          <w:lang w:val="bg-BG"/>
        </w:rPr>
        <w:t>Belgium</w:t>
      </w:r>
      <w:proofErr w:type="spellEnd"/>
      <w:r w:rsidRPr="00006A07">
        <w:rPr>
          <w:lang w:val="bg-BG"/>
        </w:rPr>
        <w:t xml:space="preserve">, </w:t>
      </w:r>
      <w:proofErr w:type="spellStart"/>
      <w:r w:rsidRPr="00006A07">
        <w:rPr>
          <w:lang w:val="bg-BG"/>
        </w:rPr>
        <w:t>no</w:t>
      </w:r>
      <w:proofErr w:type="spellEnd"/>
      <w:r w:rsidRPr="00006A07">
        <w:rPr>
          <w:lang w:val="bg-BG"/>
        </w:rPr>
        <w:t xml:space="preserve">. 10435/83, решение на Комисията от 10 декември 1984 г., DR 40, стр. 251; </w:t>
      </w:r>
      <w:proofErr w:type="spellStart"/>
      <w:r w:rsidRPr="00006A07">
        <w:rPr>
          <w:i/>
          <w:iCs/>
          <w:lang w:val="bg-BG"/>
        </w:rPr>
        <w:t>Glass</w:t>
      </w:r>
      <w:proofErr w:type="spellEnd"/>
      <w:r w:rsidRPr="00006A07">
        <w:rPr>
          <w:i/>
          <w:iCs/>
          <w:lang w:val="bg-BG"/>
        </w:rPr>
        <w:t xml:space="preserve"> v. </w:t>
      </w:r>
      <w:proofErr w:type="spellStart"/>
      <w:r w:rsidRPr="00006A07">
        <w:rPr>
          <w:i/>
          <w:iCs/>
          <w:lang w:val="bg-BG"/>
        </w:rPr>
        <w:t>the</w:t>
      </w:r>
      <w:proofErr w:type="spellEnd"/>
      <w:r w:rsidRPr="00006A07">
        <w:rPr>
          <w:i/>
          <w:iCs/>
          <w:lang w:val="bg-BG"/>
        </w:rPr>
        <w:t xml:space="preserve"> </w:t>
      </w:r>
      <w:proofErr w:type="spellStart"/>
      <w:r w:rsidRPr="00006A07">
        <w:rPr>
          <w:i/>
          <w:iCs/>
          <w:lang w:val="bg-BG"/>
        </w:rPr>
        <w:t>United</w:t>
      </w:r>
      <w:proofErr w:type="spellEnd"/>
      <w:r w:rsidRPr="00006A07">
        <w:rPr>
          <w:i/>
          <w:iCs/>
          <w:lang w:val="bg-BG"/>
        </w:rPr>
        <w:t xml:space="preserve"> </w:t>
      </w:r>
      <w:proofErr w:type="spellStart"/>
      <w:r w:rsidRPr="00006A07">
        <w:rPr>
          <w:i/>
          <w:iCs/>
          <w:lang w:val="bg-BG"/>
        </w:rPr>
        <w:t>Kingdom</w:t>
      </w:r>
      <w:proofErr w:type="spellEnd"/>
      <w:r w:rsidRPr="00006A07">
        <w:rPr>
          <w:lang w:val="bg-BG"/>
        </w:rPr>
        <w:t xml:space="preserve">, </w:t>
      </w:r>
      <w:proofErr w:type="spellStart"/>
      <w:r w:rsidRPr="00006A07">
        <w:rPr>
          <w:lang w:val="bg-BG"/>
        </w:rPr>
        <w:t>no</w:t>
      </w:r>
      <w:proofErr w:type="spellEnd"/>
      <w:r w:rsidRPr="00006A07">
        <w:rPr>
          <w:lang w:val="bg-BG"/>
        </w:rPr>
        <w:t xml:space="preserve">. 61827/00, §§ 82 </w:t>
      </w:r>
      <w:r w:rsidRPr="00006A07">
        <w:rPr>
          <w:lang w:val="bg-BG"/>
        </w:rPr>
        <w:noBreakHyphen/>
        <w:t xml:space="preserve"> 83, ECHR 2004</w:t>
      </w:r>
      <w:r w:rsidRPr="00006A07">
        <w:rPr>
          <w:lang w:val="bg-BG"/>
        </w:rPr>
        <w:noBreakHyphen/>
        <w:t xml:space="preserve">II; </w:t>
      </w:r>
      <w:proofErr w:type="spellStart"/>
      <w:r w:rsidRPr="00006A07">
        <w:rPr>
          <w:i/>
          <w:iCs/>
          <w:lang w:val="bg-BG" w:eastAsia="en-US"/>
        </w:rPr>
        <w:t>Storck</w:t>
      </w:r>
      <w:proofErr w:type="spellEnd"/>
      <w:r w:rsidRPr="00006A07">
        <w:rPr>
          <w:i/>
          <w:iCs/>
          <w:lang w:val="bg-BG" w:eastAsia="en-US"/>
        </w:rPr>
        <w:t xml:space="preserve"> v. </w:t>
      </w:r>
      <w:proofErr w:type="spellStart"/>
      <w:r w:rsidRPr="00006A07">
        <w:rPr>
          <w:i/>
          <w:iCs/>
          <w:lang w:val="bg-BG" w:eastAsia="en-US"/>
        </w:rPr>
        <w:t>Germany</w:t>
      </w:r>
      <w:proofErr w:type="spellEnd"/>
      <w:r w:rsidRPr="00006A07">
        <w:rPr>
          <w:lang w:val="bg-BG" w:eastAsia="en-US"/>
        </w:rPr>
        <w:t xml:space="preserve">, </w:t>
      </w:r>
      <w:proofErr w:type="spellStart"/>
      <w:r w:rsidRPr="00006A07">
        <w:rPr>
          <w:lang w:val="bg-BG" w:eastAsia="en-US"/>
        </w:rPr>
        <w:t>no</w:t>
      </w:r>
      <w:proofErr w:type="spellEnd"/>
      <w:r w:rsidRPr="00006A07">
        <w:rPr>
          <w:lang w:val="bg-BG" w:eastAsia="en-US"/>
        </w:rPr>
        <w:t xml:space="preserve">. 61603/00, §§ 143 </w:t>
      </w:r>
      <w:r w:rsidRPr="00006A07">
        <w:rPr>
          <w:lang w:val="bg-BG" w:eastAsia="en-US"/>
        </w:rPr>
        <w:noBreakHyphen/>
        <w:t xml:space="preserve"> 44, ECHR 2005</w:t>
      </w:r>
      <w:r w:rsidRPr="00006A07">
        <w:rPr>
          <w:lang w:val="bg-BG" w:eastAsia="en-US"/>
        </w:rPr>
        <w:noBreakHyphen/>
        <w:t xml:space="preserve">V; </w:t>
      </w:r>
      <w:proofErr w:type="spellStart"/>
      <w:r w:rsidRPr="00006A07">
        <w:rPr>
          <w:i/>
          <w:iCs/>
          <w:lang w:val="bg-BG"/>
        </w:rPr>
        <w:t>Jehovah’s</w:t>
      </w:r>
      <w:proofErr w:type="spellEnd"/>
      <w:r w:rsidRPr="00006A07">
        <w:rPr>
          <w:i/>
          <w:iCs/>
          <w:lang w:val="bg-BG"/>
        </w:rPr>
        <w:t xml:space="preserve"> </w:t>
      </w:r>
      <w:proofErr w:type="spellStart"/>
      <w:r w:rsidRPr="00006A07">
        <w:rPr>
          <w:i/>
          <w:iCs/>
          <w:lang w:val="bg-BG"/>
        </w:rPr>
        <w:t>Witnesses</w:t>
      </w:r>
      <w:proofErr w:type="spellEnd"/>
      <w:r w:rsidRPr="00006A07">
        <w:rPr>
          <w:i/>
          <w:iCs/>
          <w:lang w:val="bg-BG"/>
        </w:rPr>
        <w:t xml:space="preserve"> of </w:t>
      </w:r>
      <w:proofErr w:type="spellStart"/>
      <w:r w:rsidRPr="00006A07">
        <w:rPr>
          <w:i/>
          <w:iCs/>
          <w:lang w:val="bg-BG"/>
        </w:rPr>
        <w:t>Moscow</w:t>
      </w:r>
      <w:proofErr w:type="spellEnd"/>
      <w:r w:rsidRPr="00006A07">
        <w:rPr>
          <w:i/>
          <w:iCs/>
          <w:lang w:val="bg-BG"/>
        </w:rPr>
        <w:t xml:space="preserve"> v. </w:t>
      </w:r>
      <w:proofErr w:type="spellStart"/>
      <w:r w:rsidRPr="00006A07">
        <w:rPr>
          <w:i/>
          <w:iCs/>
          <w:lang w:val="bg-BG"/>
        </w:rPr>
        <w:t>Russia</w:t>
      </w:r>
      <w:proofErr w:type="spellEnd"/>
      <w:r w:rsidRPr="00006A07">
        <w:rPr>
          <w:lang w:val="bg-BG"/>
        </w:rPr>
        <w:t xml:space="preserve">, </w:t>
      </w:r>
      <w:proofErr w:type="spellStart"/>
      <w:r w:rsidRPr="00006A07">
        <w:rPr>
          <w:lang w:val="bg-BG"/>
        </w:rPr>
        <w:t>no</w:t>
      </w:r>
      <w:proofErr w:type="spellEnd"/>
      <w:r w:rsidRPr="00006A07">
        <w:rPr>
          <w:lang w:val="bg-BG"/>
        </w:rPr>
        <w:t>. 302/02, § 135, ECHR 2010</w:t>
      </w:r>
      <w:r w:rsidRPr="00006A07">
        <w:rPr>
          <w:lang w:val="bg-BG"/>
        </w:rPr>
        <w:noBreakHyphen/>
        <w:t xml:space="preserve">...; и </w:t>
      </w:r>
      <w:proofErr w:type="spellStart"/>
      <w:r w:rsidRPr="00006A07">
        <w:rPr>
          <w:i/>
          <w:iCs/>
          <w:lang w:val="bg-BG" w:eastAsia="en-US"/>
        </w:rPr>
        <w:t>Shopov</w:t>
      </w:r>
      <w:proofErr w:type="spellEnd"/>
      <w:r w:rsidRPr="00006A07">
        <w:rPr>
          <w:i/>
          <w:iCs/>
          <w:lang w:val="bg-BG" w:eastAsia="en-US"/>
        </w:rPr>
        <w:t xml:space="preserve"> v. </w:t>
      </w:r>
      <w:proofErr w:type="spellStart"/>
      <w:r w:rsidRPr="00006A07">
        <w:rPr>
          <w:i/>
          <w:iCs/>
          <w:lang w:val="bg-BG" w:eastAsia="en-US"/>
        </w:rPr>
        <w:t>Bulgaria</w:t>
      </w:r>
      <w:proofErr w:type="spellEnd"/>
      <w:r w:rsidRPr="00006A07">
        <w:rPr>
          <w:lang w:val="bg-BG" w:eastAsia="en-US"/>
        </w:rPr>
        <w:t xml:space="preserve">, </w:t>
      </w:r>
      <w:proofErr w:type="spellStart"/>
      <w:r w:rsidRPr="00006A07">
        <w:rPr>
          <w:lang w:val="bg-BG" w:eastAsia="en-US"/>
        </w:rPr>
        <w:t>no</w:t>
      </w:r>
      <w:proofErr w:type="spellEnd"/>
      <w:r w:rsidRPr="00006A07">
        <w:rPr>
          <w:lang w:val="bg-BG" w:eastAsia="en-US"/>
        </w:rPr>
        <w:t>. 11373/04</w:t>
      </w:r>
      <w:r w:rsidRPr="00006A07">
        <w:rPr>
          <w:snapToGrid w:val="0"/>
          <w:lang w:val="bg-BG" w:eastAsia="en-US"/>
        </w:rPr>
        <w:t>, § 41, 2 септември 2010 г.; и, относно подпомаганото самоубийство</w:t>
      </w:r>
      <w:r w:rsidRPr="00006A07">
        <w:rPr>
          <w:lang w:val="bg-BG"/>
        </w:rPr>
        <w:t xml:space="preserve">, </w:t>
      </w:r>
      <w:proofErr w:type="spellStart"/>
      <w:r w:rsidRPr="00006A07">
        <w:rPr>
          <w:i/>
          <w:iCs/>
          <w:lang w:val="bg-BG"/>
        </w:rPr>
        <w:t>Pretty</w:t>
      </w:r>
      <w:proofErr w:type="spellEnd"/>
      <w:r w:rsidRPr="00006A07">
        <w:rPr>
          <w:lang w:val="bg-BG"/>
        </w:rPr>
        <w:t xml:space="preserve">, цитирано по-горе, §§ 62 </w:t>
      </w:r>
      <w:r w:rsidRPr="00006A07">
        <w:rPr>
          <w:lang w:val="bg-BG"/>
        </w:rPr>
        <w:noBreakHyphen/>
        <w:t xml:space="preserve"> 67, и </w:t>
      </w:r>
      <w:proofErr w:type="spellStart"/>
      <w:r w:rsidRPr="00006A07">
        <w:rPr>
          <w:i/>
          <w:iCs/>
          <w:lang w:val="bg-BG" w:eastAsia="en-US"/>
        </w:rPr>
        <w:t>Haas</w:t>
      </w:r>
      <w:proofErr w:type="spellEnd"/>
      <w:r w:rsidRPr="00006A07">
        <w:rPr>
          <w:i/>
          <w:iCs/>
          <w:lang w:val="bg-BG" w:eastAsia="en-US"/>
        </w:rPr>
        <w:t xml:space="preserve"> v. </w:t>
      </w:r>
      <w:proofErr w:type="spellStart"/>
      <w:r w:rsidRPr="00006A07">
        <w:rPr>
          <w:i/>
          <w:iCs/>
          <w:lang w:val="bg-BG" w:eastAsia="en-US"/>
        </w:rPr>
        <w:t>Switzerland</w:t>
      </w:r>
      <w:proofErr w:type="spellEnd"/>
      <w:r w:rsidRPr="00006A07">
        <w:rPr>
          <w:lang w:val="bg-BG" w:eastAsia="en-US"/>
        </w:rPr>
        <w:t xml:space="preserve">, </w:t>
      </w:r>
      <w:proofErr w:type="spellStart"/>
      <w:r w:rsidRPr="00006A07">
        <w:rPr>
          <w:lang w:val="bg-BG" w:eastAsia="en-US"/>
        </w:rPr>
        <w:t>no</w:t>
      </w:r>
      <w:proofErr w:type="spellEnd"/>
      <w:r w:rsidRPr="00006A07">
        <w:rPr>
          <w:lang w:val="bg-BG" w:eastAsia="en-US"/>
        </w:rPr>
        <w:t>. 31322/07, § 51, ECHR 2011 г.</w:t>
      </w:r>
      <w:r w:rsidRPr="00006A07">
        <w:rPr>
          <w:lang w:val="bg-BG" w:eastAsia="en-US"/>
        </w:rPr>
        <w:noBreakHyphen/>
        <w:t>...).</w:t>
      </w:r>
    </w:p>
    <w:p w:rsidR="0095532B" w:rsidRPr="00006A07" w:rsidRDefault="0095532B" w:rsidP="008D7A78">
      <w:pPr>
        <w:pStyle w:val="JuHa0"/>
        <w:rPr>
          <w:lang w:val="bg-BG"/>
        </w:rPr>
      </w:pPr>
      <w:r w:rsidRPr="00006A07">
        <w:rPr>
          <w:lang w:val="bg-BG"/>
        </w:rPr>
        <w:t>б)  Позитивно задължение или намеса в право?</w:t>
      </w:r>
    </w:p>
    <w:p w:rsidR="0095532B" w:rsidRPr="00006A07" w:rsidRDefault="0095532B" w:rsidP="008D7A78">
      <w:pPr>
        <w:pStyle w:val="JuPara"/>
        <w:rPr>
          <w:i/>
          <w:iCs/>
          <w:lang w:val="bg-BG" w:eastAsia="en-US"/>
        </w:rPr>
      </w:pPr>
      <w:r w:rsidRPr="00006A07">
        <w:rPr>
          <w:lang w:val="bg-BG"/>
        </w:rPr>
        <w:fldChar w:fldCharType="begin"/>
      </w:r>
      <w:r w:rsidRPr="00006A07">
        <w:rPr>
          <w:lang w:val="bg-BG"/>
        </w:rPr>
        <w:instrText xml:space="preserve"> SEQ level0 \*arabic </w:instrText>
      </w:r>
      <w:r w:rsidRPr="00006A07">
        <w:rPr>
          <w:lang w:val="bg-BG"/>
        </w:rPr>
        <w:fldChar w:fldCharType="separate"/>
      </w:r>
      <w:r w:rsidRPr="00006A07">
        <w:rPr>
          <w:noProof/>
          <w:lang w:val="bg-BG"/>
        </w:rPr>
        <w:t>117</w:t>
      </w:r>
      <w:r w:rsidRPr="00006A07">
        <w:rPr>
          <w:lang w:val="bg-BG"/>
        </w:rPr>
        <w:fldChar w:fldCharType="end"/>
      </w:r>
      <w:r w:rsidRPr="00006A07">
        <w:rPr>
          <w:lang w:val="bg-BG"/>
        </w:rPr>
        <w:t xml:space="preserve">.  Страните спорят по делото във връзка с намесата в правата на жалбоподателите по член 8. Според Съда обаче, въпросът не е толкова </w:t>
      </w:r>
      <w:r w:rsidRPr="00006A07">
        <w:rPr>
          <w:lang w:val="bg-BG"/>
        </w:rPr>
        <w:lastRenderedPageBreak/>
        <w:t xml:space="preserve">ясно очертан. Основният спорен въпрос по делото може да се определи или като ограничение на избора на жалбоподателите на медицинско лечение, което да се анализира като намеса в правото им на зачитане на личния им живот (сравни, </w:t>
      </w:r>
      <w:proofErr w:type="spellStart"/>
      <w:r w:rsidRPr="00006A07">
        <w:rPr>
          <w:i/>
          <w:iCs/>
          <w:lang w:val="bg-BG"/>
        </w:rPr>
        <w:t>mutatis</w:t>
      </w:r>
      <w:proofErr w:type="spellEnd"/>
      <w:r w:rsidRPr="00006A07">
        <w:rPr>
          <w:i/>
          <w:iCs/>
          <w:lang w:val="bg-BG"/>
        </w:rPr>
        <w:t xml:space="preserve"> </w:t>
      </w:r>
      <w:proofErr w:type="spellStart"/>
      <w:r w:rsidRPr="00006A07">
        <w:rPr>
          <w:i/>
          <w:iCs/>
          <w:lang w:val="bg-BG"/>
        </w:rPr>
        <w:t>mutandis</w:t>
      </w:r>
      <w:proofErr w:type="spellEnd"/>
      <w:r w:rsidRPr="00006A07">
        <w:rPr>
          <w:lang w:val="bg-BG"/>
        </w:rPr>
        <w:t xml:space="preserve">, с </w:t>
      </w:r>
      <w:proofErr w:type="spellStart"/>
      <w:r w:rsidRPr="00006A07">
        <w:rPr>
          <w:i/>
          <w:iCs/>
          <w:lang w:val="bg-BG"/>
        </w:rPr>
        <w:t>Pretty</w:t>
      </w:r>
      <w:proofErr w:type="spellEnd"/>
      <w:r w:rsidRPr="00006A07">
        <w:rPr>
          <w:lang w:val="bg-BG"/>
        </w:rPr>
        <w:t xml:space="preserve">, цитирано по-горе, § 67; с </w:t>
      </w:r>
      <w:r w:rsidRPr="00006A07">
        <w:rPr>
          <w:i/>
          <w:iCs/>
          <w:lang w:val="bg-BG" w:eastAsia="en-US"/>
        </w:rPr>
        <w:t xml:space="preserve">A, B </w:t>
      </w:r>
      <w:proofErr w:type="spellStart"/>
      <w:r w:rsidRPr="00006A07">
        <w:rPr>
          <w:i/>
          <w:iCs/>
          <w:lang w:val="bg-BG" w:eastAsia="en-US"/>
        </w:rPr>
        <w:t>and</w:t>
      </w:r>
      <w:proofErr w:type="spellEnd"/>
      <w:r w:rsidRPr="00006A07">
        <w:rPr>
          <w:i/>
          <w:iCs/>
          <w:lang w:val="bg-BG" w:eastAsia="en-US"/>
        </w:rPr>
        <w:t xml:space="preserve"> C v. </w:t>
      </w:r>
      <w:proofErr w:type="spellStart"/>
      <w:r w:rsidRPr="00006A07">
        <w:rPr>
          <w:i/>
          <w:iCs/>
          <w:lang w:val="bg-BG" w:eastAsia="en-US"/>
        </w:rPr>
        <w:t>Ireland</w:t>
      </w:r>
      <w:proofErr w:type="spellEnd"/>
      <w:r w:rsidRPr="00006A07">
        <w:rPr>
          <w:lang w:val="bg-BG" w:eastAsia="en-US"/>
        </w:rPr>
        <w:t xml:space="preserve"> [GC], </w:t>
      </w:r>
      <w:proofErr w:type="spellStart"/>
      <w:r w:rsidRPr="00006A07">
        <w:rPr>
          <w:lang w:val="bg-BG" w:eastAsia="en-US"/>
        </w:rPr>
        <w:t>no</w:t>
      </w:r>
      <w:proofErr w:type="spellEnd"/>
      <w:r w:rsidRPr="00006A07">
        <w:rPr>
          <w:lang w:val="bg-BG" w:eastAsia="en-US"/>
        </w:rPr>
        <w:t>. 25579/05, § 216, ECHR 2010</w:t>
      </w:r>
      <w:r w:rsidRPr="00006A07">
        <w:rPr>
          <w:lang w:val="bg-BG" w:eastAsia="en-US"/>
        </w:rPr>
        <w:noBreakHyphen/>
        <w:t xml:space="preserve">...; и с </w:t>
      </w:r>
      <w:r w:rsidRPr="00006A07">
        <w:rPr>
          <w:i/>
          <w:iCs/>
          <w:lang w:val="bg-BG" w:eastAsia="en-US"/>
        </w:rPr>
        <w:t xml:space="preserve">S.H. </w:t>
      </w:r>
      <w:proofErr w:type="spellStart"/>
      <w:r w:rsidRPr="00006A07">
        <w:rPr>
          <w:i/>
          <w:iCs/>
          <w:lang w:val="bg-BG" w:eastAsia="en-US"/>
        </w:rPr>
        <w:t>and</w:t>
      </w:r>
      <w:proofErr w:type="spellEnd"/>
      <w:r w:rsidRPr="00006A07">
        <w:rPr>
          <w:i/>
          <w:iCs/>
          <w:lang w:val="bg-BG" w:eastAsia="en-US"/>
        </w:rPr>
        <w:t xml:space="preserve"> </w:t>
      </w:r>
      <w:proofErr w:type="spellStart"/>
      <w:r w:rsidRPr="00006A07">
        <w:rPr>
          <w:i/>
          <w:iCs/>
          <w:lang w:val="bg-BG" w:eastAsia="en-US"/>
        </w:rPr>
        <w:t>Others</w:t>
      </w:r>
      <w:proofErr w:type="spellEnd"/>
      <w:r w:rsidRPr="00006A07">
        <w:rPr>
          <w:i/>
          <w:iCs/>
          <w:lang w:val="bg-BG" w:eastAsia="en-US"/>
        </w:rPr>
        <w:t xml:space="preserve"> v. </w:t>
      </w:r>
      <w:proofErr w:type="spellStart"/>
      <w:r w:rsidRPr="00006A07">
        <w:rPr>
          <w:i/>
          <w:iCs/>
          <w:lang w:val="bg-BG" w:eastAsia="en-US"/>
        </w:rPr>
        <w:t>Austria</w:t>
      </w:r>
      <w:proofErr w:type="spellEnd"/>
      <w:r w:rsidRPr="00006A07">
        <w:rPr>
          <w:lang w:val="bg-BG" w:eastAsia="en-US"/>
        </w:rPr>
        <w:t xml:space="preserve">, цитирано по-горе, §§ 85 </w:t>
      </w:r>
      <w:r w:rsidRPr="00006A07">
        <w:rPr>
          <w:lang w:val="bg-BG" w:eastAsia="en-US"/>
        </w:rPr>
        <w:noBreakHyphen/>
        <w:t xml:space="preserve"> 88</w:t>
      </w:r>
      <w:r w:rsidRPr="00006A07">
        <w:rPr>
          <w:lang w:val="bg-BG"/>
        </w:rPr>
        <w:t xml:space="preserve">), или като твърдяно неосигуряване от страна на Държавата на подходяща регулаторна рамка, която да осигури правата на лица, които са в положението на жалбоподателите, което да се анализира във връзка с позитивното задължение на Държавата да осигури зачитане на личния им живот (сравни, </w:t>
      </w:r>
      <w:proofErr w:type="spellStart"/>
      <w:r w:rsidRPr="00006A07">
        <w:rPr>
          <w:i/>
          <w:iCs/>
          <w:lang w:val="bg-BG"/>
        </w:rPr>
        <w:t>mutatis</w:t>
      </w:r>
      <w:proofErr w:type="spellEnd"/>
      <w:r w:rsidRPr="00006A07">
        <w:rPr>
          <w:i/>
          <w:iCs/>
          <w:lang w:val="bg-BG"/>
        </w:rPr>
        <w:t xml:space="preserve"> </w:t>
      </w:r>
      <w:proofErr w:type="spellStart"/>
      <w:r w:rsidRPr="00006A07">
        <w:rPr>
          <w:i/>
          <w:iCs/>
          <w:lang w:val="bg-BG"/>
        </w:rPr>
        <w:t>mutandis</w:t>
      </w:r>
      <w:proofErr w:type="spellEnd"/>
      <w:r w:rsidRPr="00006A07">
        <w:rPr>
          <w:lang w:val="bg-BG"/>
        </w:rPr>
        <w:t>, и</w:t>
      </w:r>
      <w:r w:rsidRPr="00006A07">
        <w:rPr>
          <w:i/>
          <w:iCs/>
          <w:lang w:val="bg-BG" w:eastAsia="en-US"/>
        </w:rPr>
        <w:t xml:space="preserve"> </w:t>
      </w:r>
      <w:proofErr w:type="spellStart"/>
      <w:r w:rsidRPr="00006A07">
        <w:rPr>
          <w:i/>
          <w:iCs/>
          <w:lang w:val="bg-BG" w:eastAsia="en-US"/>
        </w:rPr>
        <w:t>Christine</w:t>
      </w:r>
      <w:proofErr w:type="spellEnd"/>
      <w:r w:rsidRPr="00006A07">
        <w:rPr>
          <w:i/>
          <w:iCs/>
          <w:lang w:val="bg-BG" w:eastAsia="en-US"/>
        </w:rPr>
        <w:t xml:space="preserve"> </w:t>
      </w:r>
      <w:proofErr w:type="spellStart"/>
      <w:r w:rsidRPr="00006A07">
        <w:rPr>
          <w:i/>
          <w:iCs/>
          <w:lang w:val="bg-BG" w:eastAsia="en-US"/>
        </w:rPr>
        <w:t>Goodwin</w:t>
      </w:r>
      <w:proofErr w:type="spellEnd"/>
      <w:r w:rsidRPr="00006A07">
        <w:rPr>
          <w:lang w:val="bg-BG" w:eastAsia="en-US"/>
        </w:rPr>
        <w:t xml:space="preserve">, § 71; </w:t>
      </w:r>
      <w:proofErr w:type="spellStart"/>
      <w:r w:rsidRPr="00006A07">
        <w:rPr>
          <w:i/>
          <w:iCs/>
          <w:lang w:val="bg-BG" w:eastAsia="en-US"/>
        </w:rPr>
        <w:t>Tysiąc</w:t>
      </w:r>
      <w:proofErr w:type="spellEnd"/>
      <w:r w:rsidRPr="00006A07">
        <w:rPr>
          <w:lang w:val="bg-BG" w:eastAsia="en-US"/>
        </w:rPr>
        <w:t xml:space="preserve">, §§ 107 </w:t>
      </w:r>
      <w:r w:rsidRPr="00006A07">
        <w:rPr>
          <w:lang w:val="bg-BG" w:eastAsia="en-US"/>
        </w:rPr>
        <w:noBreakHyphen/>
        <w:t xml:space="preserve"> 08; </w:t>
      </w:r>
      <w:proofErr w:type="spellStart"/>
      <w:r w:rsidRPr="00006A07">
        <w:rPr>
          <w:i/>
          <w:iCs/>
          <w:lang w:val="bg-BG"/>
        </w:rPr>
        <w:t>Haas</w:t>
      </w:r>
      <w:proofErr w:type="spellEnd"/>
      <w:r w:rsidRPr="00006A07">
        <w:rPr>
          <w:lang w:val="bg-BG"/>
        </w:rPr>
        <w:t xml:space="preserve">, §§ 52 </w:t>
      </w:r>
      <w:r w:rsidRPr="00006A07">
        <w:rPr>
          <w:lang w:val="bg-BG"/>
        </w:rPr>
        <w:noBreakHyphen/>
        <w:t xml:space="preserve"> 53; </w:t>
      </w:r>
      <w:r w:rsidRPr="00006A07">
        <w:rPr>
          <w:i/>
          <w:iCs/>
          <w:lang w:val="bg-BG" w:eastAsia="en-US"/>
        </w:rPr>
        <w:t xml:space="preserve">A, B </w:t>
      </w:r>
      <w:proofErr w:type="spellStart"/>
      <w:r w:rsidRPr="00006A07">
        <w:rPr>
          <w:i/>
          <w:iCs/>
          <w:lang w:val="bg-BG" w:eastAsia="en-US"/>
        </w:rPr>
        <w:t>and</w:t>
      </w:r>
      <w:proofErr w:type="spellEnd"/>
      <w:r w:rsidRPr="00006A07">
        <w:rPr>
          <w:i/>
          <w:iCs/>
          <w:lang w:val="bg-BG" w:eastAsia="en-US"/>
        </w:rPr>
        <w:t xml:space="preserve"> C v. </w:t>
      </w:r>
      <w:proofErr w:type="spellStart"/>
      <w:r w:rsidRPr="00006A07">
        <w:rPr>
          <w:i/>
          <w:iCs/>
          <w:lang w:val="bg-BG" w:eastAsia="en-US"/>
        </w:rPr>
        <w:t>Ireland</w:t>
      </w:r>
      <w:proofErr w:type="spellEnd"/>
      <w:r w:rsidRPr="00006A07">
        <w:rPr>
          <w:lang w:val="bg-BG" w:eastAsia="en-US"/>
        </w:rPr>
        <w:t xml:space="preserve">, §§ 244 </w:t>
      </w:r>
      <w:r w:rsidRPr="00006A07">
        <w:rPr>
          <w:lang w:val="bg-BG" w:eastAsia="en-US"/>
        </w:rPr>
        <w:noBreakHyphen/>
        <w:t xml:space="preserve"> 46; и </w:t>
      </w:r>
      <w:r w:rsidRPr="00006A07">
        <w:rPr>
          <w:i/>
          <w:iCs/>
          <w:lang w:val="bg-BG" w:eastAsia="en-US"/>
        </w:rPr>
        <w:t>R.</w:t>
      </w:r>
      <w:proofErr w:type="spellStart"/>
      <w:r w:rsidRPr="00006A07">
        <w:rPr>
          <w:i/>
          <w:iCs/>
          <w:lang w:val="bg-BG" w:eastAsia="en-US"/>
        </w:rPr>
        <w:t>R</w:t>
      </w:r>
      <w:proofErr w:type="spellEnd"/>
      <w:r w:rsidRPr="00006A07">
        <w:rPr>
          <w:i/>
          <w:iCs/>
          <w:lang w:val="bg-BG" w:eastAsia="en-US"/>
        </w:rPr>
        <w:t xml:space="preserve">. </w:t>
      </w:r>
      <w:r w:rsidRPr="00006A07">
        <w:rPr>
          <w:i/>
          <w:iCs/>
          <w:snapToGrid w:val="0"/>
          <w:lang w:val="bg-BG" w:eastAsia="en-US"/>
        </w:rPr>
        <w:t xml:space="preserve">v. </w:t>
      </w:r>
      <w:proofErr w:type="spellStart"/>
      <w:r w:rsidRPr="00006A07">
        <w:rPr>
          <w:i/>
          <w:iCs/>
          <w:snapToGrid w:val="0"/>
          <w:lang w:val="bg-BG" w:eastAsia="en-US"/>
        </w:rPr>
        <w:t>Poland</w:t>
      </w:r>
      <w:proofErr w:type="spellEnd"/>
      <w:r w:rsidRPr="00006A07">
        <w:rPr>
          <w:snapToGrid w:val="0"/>
          <w:lang w:val="bg-BG" w:eastAsia="en-US"/>
        </w:rPr>
        <w:t xml:space="preserve">, </w:t>
      </w:r>
      <w:r w:rsidRPr="00006A07">
        <w:rPr>
          <w:lang w:val="bg-BG" w:eastAsia="en-US"/>
        </w:rPr>
        <w:t>§ 188, всички цитирани по-горе</w:t>
      </w:r>
      <w:r w:rsidRPr="00006A07">
        <w:rPr>
          <w:lang w:val="bg-BG"/>
        </w:rPr>
        <w:t xml:space="preserve">). Съдът не намира за необходимо да решава този въпрос. Въпреки че границите между позитивните и негативните задължения на Държавата по член 8 не се поддават на точно определение, приложимите принципи са сходни. И в двата контекста трябва да се обърне внимание на справедливия баланс, който трябва да бъде установен между конкуриращите се интереси на отделните лица и на Общността като цяло (вж., наред с другите източници, </w:t>
      </w:r>
      <w:proofErr w:type="spellStart"/>
      <w:r w:rsidRPr="00006A07">
        <w:rPr>
          <w:i/>
          <w:iCs/>
          <w:lang w:val="bg-BG"/>
        </w:rPr>
        <w:t>Powell</w:t>
      </w:r>
      <w:proofErr w:type="spellEnd"/>
      <w:r w:rsidRPr="00006A07">
        <w:rPr>
          <w:i/>
          <w:iCs/>
          <w:lang w:val="bg-BG"/>
        </w:rPr>
        <w:t xml:space="preserve"> </w:t>
      </w:r>
      <w:proofErr w:type="spellStart"/>
      <w:r w:rsidRPr="00006A07">
        <w:rPr>
          <w:i/>
          <w:iCs/>
          <w:lang w:val="bg-BG"/>
        </w:rPr>
        <w:t>and</w:t>
      </w:r>
      <w:proofErr w:type="spellEnd"/>
      <w:r w:rsidRPr="00006A07">
        <w:rPr>
          <w:i/>
          <w:iCs/>
          <w:lang w:val="bg-BG"/>
        </w:rPr>
        <w:t xml:space="preserve"> </w:t>
      </w:r>
      <w:proofErr w:type="spellStart"/>
      <w:r w:rsidRPr="00006A07">
        <w:rPr>
          <w:i/>
          <w:iCs/>
          <w:lang w:val="bg-BG"/>
        </w:rPr>
        <w:t>Rayner</w:t>
      </w:r>
      <w:proofErr w:type="spellEnd"/>
      <w:r w:rsidRPr="00006A07">
        <w:rPr>
          <w:i/>
          <w:iCs/>
          <w:lang w:val="bg-BG"/>
        </w:rPr>
        <w:t xml:space="preserve"> v. </w:t>
      </w:r>
      <w:proofErr w:type="spellStart"/>
      <w:r w:rsidRPr="00006A07">
        <w:rPr>
          <w:i/>
          <w:iCs/>
          <w:lang w:val="bg-BG"/>
        </w:rPr>
        <w:t>the</w:t>
      </w:r>
      <w:proofErr w:type="spellEnd"/>
      <w:r w:rsidRPr="00006A07">
        <w:rPr>
          <w:i/>
          <w:iCs/>
          <w:lang w:val="bg-BG"/>
        </w:rPr>
        <w:t xml:space="preserve"> </w:t>
      </w:r>
      <w:proofErr w:type="spellStart"/>
      <w:r w:rsidRPr="00006A07">
        <w:rPr>
          <w:i/>
          <w:iCs/>
          <w:lang w:val="bg-BG"/>
        </w:rPr>
        <w:t>United</w:t>
      </w:r>
      <w:proofErr w:type="spellEnd"/>
      <w:r w:rsidRPr="00006A07">
        <w:rPr>
          <w:i/>
          <w:iCs/>
          <w:lang w:val="bg-BG"/>
        </w:rPr>
        <w:t xml:space="preserve"> </w:t>
      </w:r>
      <w:proofErr w:type="spellStart"/>
      <w:r w:rsidRPr="00006A07">
        <w:rPr>
          <w:i/>
          <w:iCs/>
          <w:lang w:val="bg-BG"/>
        </w:rPr>
        <w:t>Kingdom</w:t>
      </w:r>
      <w:proofErr w:type="spellEnd"/>
      <w:r w:rsidRPr="00006A07">
        <w:rPr>
          <w:lang w:val="bg-BG"/>
        </w:rPr>
        <w:t xml:space="preserve">, 21 февруари 1990 г., § 41, </w:t>
      </w:r>
      <w:proofErr w:type="spellStart"/>
      <w:r w:rsidRPr="00006A07">
        <w:rPr>
          <w:lang w:val="bg-BG"/>
        </w:rPr>
        <w:t>Series</w:t>
      </w:r>
      <w:proofErr w:type="spellEnd"/>
      <w:r w:rsidRPr="00006A07">
        <w:rPr>
          <w:lang w:val="bg-BG"/>
        </w:rPr>
        <w:t xml:space="preserve"> A </w:t>
      </w:r>
      <w:proofErr w:type="spellStart"/>
      <w:r w:rsidRPr="00006A07">
        <w:rPr>
          <w:lang w:val="bg-BG"/>
        </w:rPr>
        <w:t>no</w:t>
      </w:r>
      <w:proofErr w:type="spellEnd"/>
      <w:r w:rsidRPr="00006A07">
        <w:rPr>
          <w:lang w:val="bg-BG"/>
        </w:rPr>
        <w:t xml:space="preserve">. 172; </w:t>
      </w:r>
      <w:proofErr w:type="spellStart"/>
      <w:r w:rsidRPr="00006A07">
        <w:rPr>
          <w:i/>
          <w:iCs/>
          <w:lang w:val="bg-BG" w:eastAsia="en-US"/>
        </w:rPr>
        <w:t>Evans</w:t>
      </w:r>
      <w:proofErr w:type="spellEnd"/>
      <w:r w:rsidRPr="00006A07">
        <w:rPr>
          <w:i/>
          <w:iCs/>
          <w:lang w:val="bg-BG" w:eastAsia="en-US"/>
        </w:rPr>
        <w:t xml:space="preserve"> v. </w:t>
      </w:r>
      <w:proofErr w:type="spellStart"/>
      <w:r w:rsidRPr="00006A07">
        <w:rPr>
          <w:i/>
          <w:iCs/>
          <w:lang w:val="bg-BG" w:eastAsia="en-US"/>
        </w:rPr>
        <w:t>the</w:t>
      </w:r>
      <w:proofErr w:type="spellEnd"/>
      <w:r w:rsidRPr="00006A07">
        <w:rPr>
          <w:i/>
          <w:iCs/>
          <w:lang w:val="bg-BG" w:eastAsia="en-US"/>
        </w:rPr>
        <w:t xml:space="preserve"> </w:t>
      </w:r>
      <w:proofErr w:type="spellStart"/>
      <w:r w:rsidRPr="00006A07">
        <w:rPr>
          <w:i/>
          <w:iCs/>
          <w:lang w:val="bg-BG" w:eastAsia="en-US"/>
        </w:rPr>
        <w:t>United</w:t>
      </w:r>
      <w:proofErr w:type="spellEnd"/>
      <w:r w:rsidRPr="00006A07">
        <w:rPr>
          <w:i/>
          <w:iCs/>
          <w:lang w:val="bg-BG" w:eastAsia="en-US"/>
        </w:rPr>
        <w:t xml:space="preserve"> </w:t>
      </w:r>
      <w:proofErr w:type="spellStart"/>
      <w:r w:rsidRPr="00006A07">
        <w:rPr>
          <w:i/>
          <w:iCs/>
          <w:lang w:val="bg-BG" w:eastAsia="en-US"/>
        </w:rPr>
        <w:t>Kingdom</w:t>
      </w:r>
      <w:proofErr w:type="spellEnd"/>
      <w:r w:rsidRPr="00006A07">
        <w:rPr>
          <w:lang w:val="bg-BG" w:eastAsia="en-US"/>
        </w:rPr>
        <w:t xml:space="preserve"> [GC], </w:t>
      </w:r>
      <w:proofErr w:type="spellStart"/>
      <w:r w:rsidRPr="00006A07">
        <w:rPr>
          <w:lang w:val="bg-BG" w:eastAsia="en-US"/>
        </w:rPr>
        <w:t>no</w:t>
      </w:r>
      <w:proofErr w:type="spellEnd"/>
      <w:r w:rsidRPr="00006A07">
        <w:rPr>
          <w:lang w:val="bg-BG" w:eastAsia="en-US"/>
        </w:rPr>
        <w:t>. 6339/05, § 75, ECHR 2007</w:t>
      </w:r>
      <w:r w:rsidRPr="00006A07">
        <w:rPr>
          <w:lang w:val="bg-BG" w:eastAsia="en-US"/>
        </w:rPr>
        <w:noBreakHyphen/>
        <w:t xml:space="preserve">I; и </w:t>
      </w:r>
      <w:proofErr w:type="spellStart"/>
      <w:r w:rsidRPr="00006A07">
        <w:rPr>
          <w:i/>
          <w:iCs/>
          <w:lang w:val="bg-BG" w:eastAsia="en-US"/>
        </w:rPr>
        <w:t>Dickson</w:t>
      </w:r>
      <w:proofErr w:type="spellEnd"/>
      <w:r w:rsidRPr="00006A07">
        <w:rPr>
          <w:i/>
          <w:iCs/>
          <w:lang w:val="bg-BG" w:eastAsia="en-US"/>
        </w:rPr>
        <w:t xml:space="preserve"> v. </w:t>
      </w:r>
      <w:proofErr w:type="spellStart"/>
      <w:r w:rsidRPr="00006A07">
        <w:rPr>
          <w:i/>
          <w:iCs/>
          <w:lang w:val="bg-BG" w:eastAsia="en-US"/>
        </w:rPr>
        <w:t>the</w:t>
      </w:r>
      <w:proofErr w:type="spellEnd"/>
      <w:r w:rsidRPr="00006A07">
        <w:rPr>
          <w:i/>
          <w:iCs/>
          <w:lang w:val="bg-BG" w:eastAsia="en-US"/>
        </w:rPr>
        <w:t xml:space="preserve"> </w:t>
      </w:r>
      <w:proofErr w:type="spellStart"/>
      <w:r w:rsidRPr="00006A07">
        <w:rPr>
          <w:i/>
          <w:iCs/>
          <w:lang w:val="bg-BG" w:eastAsia="en-US"/>
        </w:rPr>
        <w:t>United</w:t>
      </w:r>
      <w:proofErr w:type="spellEnd"/>
      <w:r w:rsidRPr="00006A07">
        <w:rPr>
          <w:i/>
          <w:iCs/>
          <w:lang w:val="bg-BG" w:eastAsia="en-US"/>
        </w:rPr>
        <w:t xml:space="preserve"> </w:t>
      </w:r>
      <w:proofErr w:type="spellStart"/>
      <w:r w:rsidRPr="00006A07">
        <w:rPr>
          <w:i/>
          <w:iCs/>
          <w:lang w:val="bg-BG" w:eastAsia="en-US"/>
        </w:rPr>
        <w:t>Kingdom</w:t>
      </w:r>
      <w:proofErr w:type="spellEnd"/>
      <w:r w:rsidRPr="00006A07">
        <w:rPr>
          <w:i/>
          <w:iCs/>
          <w:lang w:val="bg-BG" w:eastAsia="en-US"/>
        </w:rPr>
        <w:t xml:space="preserve"> </w:t>
      </w:r>
      <w:r w:rsidRPr="00006A07">
        <w:rPr>
          <w:lang w:val="bg-BG" w:eastAsia="en-US"/>
        </w:rPr>
        <w:t xml:space="preserve">[GC], </w:t>
      </w:r>
      <w:proofErr w:type="spellStart"/>
      <w:r w:rsidRPr="00006A07">
        <w:rPr>
          <w:lang w:val="bg-BG" w:eastAsia="en-US"/>
        </w:rPr>
        <w:t>no</w:t>
      </w:r>
      <w:proofErr w:type="spellEnd"/>
      <w:r w:rsidRPr="00006A07">
        <w:rPr>
          <w:lang w:val="bg-BG" w:eastAsia="en-US"/>
        </w:rPr>
        <w:t>. 44362/04, § 70, ECHR 2007</w:t>
      </w:r>
      <w:r w:rsidRPr="00006A07">
        <w:rPr>
          <w:lang w:val="bg-BG" w:eastAsia="en-US"/>
        </w:rPr>
        <w:noBreakHyphen/>
        <w:t>V</w:t>
      </w:r>
      <w:r w:rsidRPr="00006A07">
        <w:rPr>
          <w:lang w:val="bg-BG"/>
        </w:rPr>
        <w:t>). Очевидният спорен въпрос по това дело е именно дали е установен такъв баланс, като се обърне внимание на пределите на свободата на преценка на Държавата в тази сфера.</w:t>
      </w:r>
    </w:p>
    <w:p w:rsidR="0095532B" w:rsidRPr="00006A07" w:rsidRDefault="0095532B" w:rsidP="008D7A78">
      <w:pPr>
        <w:pStyle w:val="JuHa0"/>
        <w:rPr>
          <w:lang w:val="bg-BG" w:eastAsia="en-US"/>
        </w:rPr>
      </w:pPr>
      <w:r w:rsidRPr="00006A07">
        <w:rPr>
          <w:lang w:val="bg-BG" w:eastAsia="en-US"/>
        </w:rPr>
        <w:t>в)  Конкуриращите се интереси и приложимият обхват на свободата на преценка</w:t>
      </w:r>
    </w:p>
    <w:p w:rsidR="0095532B" w:rsidRPr="00006A07" w:rsidRDefault="0095532B" w:rsidP="008D7A78">
      <w:pPr>
        <w:pStyle w:val="JuPara"/>
        <w:rPr>
          <w:lang w:val="bg-BG"/>
        </w:rPr>
      </w:pPr>
      <w:r w:rsidRPr="00006A07">
        <w:rPr>
          <w:lang w:val="bg-BG"/>
        </w:rPr>
        <w:fldChar w:fldCharType="begin"/>
      </w:r>
      <w:r w:rsidRPr="00006A07">
        <w:rPr>
          <w:lang w:val="bg-BG"/>
        </w:rPr>
        <w:instrText xml:space="preserve"> SEQ level0 \*arabic </w:instrText>
      </w:r>
      <w:r w:rsidRPr="00006A07">
        <w:rPr>
          <w:lang w:val="bg-BG"/>
        </w:rPr>
        <w:fldChar w:fldCharType="separate"/>
      </w:r>
      <w:r w:rsidRPr="00006A07">
        <w:rPr>
          <w:noProof/>
          <w:lang w:val="bg-BG"/>
        </w:rPr>
        <w:t>118</w:t>
      </w:r>
      <w:r w:rsidRPr="00006A07">
        <w:rPr>
          <w:lang w:val="bg-BG"/>
        </w:rPr>
        <w:fldChar w:fldCharType="end"/>
      </w:r>
      <w:r w:rsidRPr="00006A07">
        <w:rPr>
          <w:lang w:val="bg-BG"/>
        </w:rPr>
        <w:t xml:space="preserve">.  В скорошното си решение по делото </w:t>
      </w:r>
      <w:r w:rsidRPr="00006A07">
        <w:rPr>
          <w:i/>
          <w:iCs/>
          <w:lang w:val="bg-BG"/>
        </w:rPr>
        <w:t xml:space="preserve">S.H. </w:t>
      </w:r>
      <w:proofErr w:type="spellStart"/>
      <w:r w:rsidRPr="00006A07">
        <w:rPr>
          <w:i/>
          <w:iCs/>
          <w:lang w:val="bg-BG"/>
        </w:rPr>
        <w:t>and</w:t>
      </w:r>
      <w:proofErr w:type="spellEnd"/>
      <w:r w:rsidRPr="00006A07">
        <w:rPr>
          <w:i/>
          <w:iCs/>
          <w:lang w:val="bg-BG"/>
        </w:rPr>
        <w:t xml:space="preserve"> </w:t>
      </w:r>
      <w:proofErr w:type="spellStart"/>
      <w:r w:rsidRPr="00006A07">
        <w:rPr>
          <w:i/>
          <w:iCs/>
          <w:lang w:val="bg-BG"/>
        </w:rPr>
        <w:t>Others</w:t>
      </w:r>
      <w:proofErr w:type="spellEnd"/>
      <w:r w:rsidRPr="00006A07">
        <w:rPr>
          <w:i/>
          <w:iCs/>
          <w:lang w:val="bg-BG"/>
        </w:rPr>
        <w:t xml:space="preserve"> v. </w:t>
      </w:r>
      <w:proofErr w:type="spellStart"/>
      <w:r w:rsidRPr="00006A07">
        <w:rPr>
          <w:i/>
          <w:iCs/>
          <w:lang w:val="bg-BG"/>
        </w:rPr>
        <w:t>Austria</w:t>
      </w:r>
      <w:proofErr w:type="spellEnd"/>
      <w:r w:rsidRPr="00006A07">
        <w:rPr>
          <w:lang w:val="bg-BG"/>
        </w:rPr>
        <w:t xml:space="preserve"> (цитирано по-горе, § 94), Съдът обобщава принципите за определяне на обхвата на свободата на преценка на Държавата по член 8 както следва. Трябва да бъдат взети предвид няколко фактора. Когато на карта е поставен особено важен аспект от съществуването или идентичността на едно лице, обхватът на свободата на преценка обикновено е ограничен. Когато обаче няма консенсус в рамките на Договарящите държави или по отношение на относителната важност на застрашения интерес, или по отношение на най-добрите средства за защитата му, особено когато случаят повдига чувствителни морални или етични спорни въпроси, обхватът е по-широк. Обикновено е налице широка свобода на преценка, ако Държавата трябва да установи баланс между конкуриращи се лични и обществени интереси или права по Конвенцията.</w:t>
      </w:r>
    </w:p>
    <w:p w:rsidR="0095532B" w:rsidRPr="00006A07" w:rsidRDefault="0095532B" w:rsidP="008D7A78">
      <w:pPr>
        <w:pStyle w:val="JuPara"/>
        <w:rPr>
          <w:lang w:val="bg-BG"/>
        </w:rPr>
      </w:pPr>
      <w:r w:rsidRPr="00006A07">
        <w:rPr>
          <w:lang w:val="bg-BG"/>
        </w:rPr>
        <w:fldChar w:fldCharType="begin"/>
      </w:r>
      <w:r w:rsidRPr="00006A07">
        <w:rPr>
          <w:lang w:val="bg-BG"/>
        </w:rPr>
        <w:instrText xml:space="preserve"> SEQ level0 \*arabic </w:instrText>
      </w:r>
      <w:r w:rsidRPr="00006A07">
        <w:rPr>
          <w:lang w:val="bg-BG"/>
        </w:rPr>
        <w:fldChar w:fldCharType="separate"/>
      </w:r>
      <w:r w:rsidRPr="00006A07">
        <w:rPr>
          <w:noProof/>
          <w:lang w:val="bg-BG"/>
        </w:rPr>
        <w:t>119</w:t>
      </w:r>
      <w:r w:rsidRPr="00006A07">
        <w:rPr>
          <w:lang w:val="bg-BG"/>
        </w:rPr>
        <w:fldChar w:fldCharType="end"/>
      </w:r>
      <w:r w:rsidRPr="00006A07">
        <w:rPr>
          <w:lang w:val="bg-BG"/>
        </w:rPr>
        <w:t xml:space="preserve">.  Съдът започва с общата отправна точка, че въпроси, свързани със здравеопазването, по принцип попадат в обхвата на свободата на </w:t>
      </w:r>
      <w:r w:rsidRPr="00006A07">
        <w:rPr>
          <w:lang w:val="bg-BG"/>
        </w:rPr>
        <w:lastRenderedPageBreak/>
        <w:t xml:space="preserve">преценка на националните власти, които най-добре могат да преценят приоритетите, използването на ресурсите и обществените нужди (вж. </w:t>
      </w:r>
      <w:proofErr w:type="spellStart"/>
      <w:r w:rsidRPr="00006A07">
        <w:rPr>
          <w:i/>
          <w:iCs/>
          <w:lang w:val="bg-BG"/>
        </w:rPr>
        <w:t>Shelley</w:t>
      </w:r>
      <w:proofErr w:type="spellEnd"/>
      <w:r w:rsidRPr="00006A07">
        <w:rPr>
          <w:i/>
          <w:iCs/>
          <w:lang w:val="bg-BG"/>
        </w:rPr>
        <w:t xml:space="preserve"> v. </w:t>
      </w:r>
      <w:proofErr w:type="spellStart"/>
      <w:r w:rsidRPr="00006A07">
        <w:rPr>
          <w:i/>
          <w:iCs/>
          <w:lang w:val="bg-BG"/>
        </w:rPr>
        <w:t>the</w:t>
      </w:r>
      <w:proofErr w:type="spellEnd"/>
      <w:r w:rsidRPr="00006A07">
        <w:rPr>
          <w:i/>
          <w:iCs/>
          <w:lang w:val="bg-BG"/>
        </w:rPr>
        <w:t xml:space="preserve"> </w:t>
      </w:r>
      <w:proofErr w:type="spellStart"/>
      <w:r w:rsidRPr="00006A07">
        <w:rPr>
          <w:i/>
          <w:iCs/>
          <w:lang w:val="bg-BG"/>
        </w:rPr>
        <w:t>United</w:t>
      </w:r>
      <w:proofErr w:type="spellEnd"/>
      <w:r w:rsidRPr="00006A07">
        <w:rPr>
          <w:i/>
          <w:iCs/>
          <w:lang w:val="bg-BG"/>
        </w:rPr>
        <w:t xml:space="preserve"> </w:t>
      </w:r>
      <w:proofErr w:type="spellStart"/>
      <w:r w:rsidRPr="00006A07">
        <w:rPr>
          <w:i/>
          <w:iCs/>
          <w:lang w:val="bg-BG"/>
        </w:rPr>
        <w:t>Kingdom</w:t>
      </w:r>
      <w:proofErr w:type="spellEnd"/>
      <w:r w:rsidRPr="00006A07">
        <w:rPr>
          <w:lang w:val="bg-BG"/>
        </w:rPr>
        <w:t xml:space="preserve"> (</w:t>
      </w:r>
      <w:proofErr w:type="spellStart"/>
      <w:r w:rsidRPr="00006A07">
        <w:rPr>
          <w:lang w:val="bg-BG"/>
        </w:rPr>
        <w:t>dec</w:t>
      </w:r>
      <w:proofErr w:type="spellEnd"/>
      <w:r w:rsidRPr="00006A07">
        <w:rPr>
          <w:lang w:val="bg-BG"/>
        </w:rPr>
        <w:t xml:space="preserve">.), </w:t>
      </w:r>
      <w:proofErr w:type="spellStart"/>
      <w:r w:rsidRPr="00006A07">
        <w:rPr>
          <w:lang w:val="bg-BG"/>
        </w:rPr>
        <w:t>no</w:t>
      </w:r>
      <w:proofErr w:type="spellEnd"/>
      <w:r w:rsidRPr="00006A07">
        <w:rPr>
          <w:lang w:val="bg-BG"/>
        </w:rPr>
        <w:t>. 23800/06, 4 януари 2008 г.).</w:t>
      </w:r>
    </w:p>
    <w:p w:rsidR="0095532B" w:rsidRPr="00006A07" w:rsidRDefault="0095532B" w:rsidP="008D7A78">
      <w:pPr>
        <w:pStyle w:val="JuPara"/>
        <w:rPr>
          <w:lang w:val="bg-BG"/>
        </w:rPr>
      </w:pPr>
      <w:r w:rsidRPr="00006A07">
        <w:rPr>
          <w:lang w:val="bg-BG"/>
        </w:rPr>
        <w:fldChar w:fldCharType="begin"/>
      </w:r>
      <w:r w:rsidRPr="00006A07">
        <w:rPr>
          <w:lang w:val="bg-BG"/>
        </w:rPr>
        <w:instrText xml:space="preserve"> SEQ level0 \*arabic </w:instrText>
      </w:r>
      <w:r w:rsidRPr="00006A07">
        <w:rPr>
          <w:lang w:val="bg-BG"/>
        </w:rPr>
        <w:fldChar w:fldCharType="separate"/>
      </w:r>
      <w:r w:rsidRPr="00006A07">
        <w:rPr>
          <w:noProof/>
          <w:lang w:val="bg-BG"/>
        </w:rPr>
        <w:t>120</w:t>
      </w:r>
      <w:r w:rsidRPr="00006A07">
        <w:rPr>
          <w:lang w:val="bg-BG"/>
        </w:rPr>
        <w:fldChar w:fldCharType="end"/>
      </w:r>
      <w:r w:rsidRPr="00006A07">
        <w:rPr>
          <w:lang w:val="bg-BG"/>
        </w:rPr>
        <w:t>.  По отношение на конкуриращите се интереси, Съдът отбелязва, че не може да се отрече, че интересът на жалбоподателите да получат медицинско лечение, което може да облекчи заболяването им или да им помогне да се преборят с него, е с най-висок приоритет. Въпреки това анализът не може да спре дотук. Когато става дума за експериментални лекарствени продукти, естествено е тяхното качество, ефикасност и безопасност да са подложени на съмнение. Жалбоподателите не отричат това. Те по-скоро се опитват да докажат, че поради отчайващата прогноза за тяхното медицинско състояние, следва да им бъде позволено да поемат рисковете, свързани с потенциално животоспасяващ експериментален продукт. Формулиран по този начин, интересът на жалбоподателите добива различно естество. Той може да бъде описан като свободата да изберат като последна мярка неизпитано лечение, което може да носи рискове, но което жалбоподателите и техните лекари считат за подходящо при съществуващите обстоятелства, като опит да се спаси животът им.</w:t>
      </w:r>
    </w:p>
    <w:p w:rsidR="0095532B" w:rsidRPr="00006A07" w:rsidRDefault="0095532B" w:rsidP="008D7A78">
      <w:pPr>
        <w:pStyle w:val="JuPara"/>
        <w:rPr>
          <w:snapToGrid w:val="0"/>
          <w:lang w:val="bg-BG" w:eastAsia="en-US"/>
        </w:rPr>
      </w:pPr>
      <w:r w:rsidRPr="00006A07">
        <w:rPr>
          <w:lang w:val="bg-BG"/>
        </w:rPr>
        <w:fldChar w:fldCharType="begin"/>
      </w:r>
      <w:r w:rsidRPr="00006A07">
        <w:rPr>
          <w:lang w:val="bg-BG"/>
        </w:rPr>
        <w:instrText xml:space="preserve"> SEQ level0 \*arabic </w:instrText>
      </w:r>
      <w:r w:rsidRPr="00006A07">
        <w:rPr>
          <w:lang w:val="bg-BG"/>
        </w:rPr>
        <w:fldChar w:fldCharType="separate"/>
      </w:r>
      <w:r w:rsidRPr="00006A07">
        <w:rPr>
          <w:noProof/>
          <w:lang w:val="bg-BG"/>
        </w:rPr>
        <w:t>121</w:t>
      </w:r>
      <w:r w:rsidRPr="00006A07">
        <w:rPr>
          <w:lang w:val="bg-BG"/>
        </w:rPr>
        <w:fldChar w:fldCharType="end"/>
      </w:r>
      <w:r w:rsidRPr="00006A07">
        <w:rPr>
          <w:lang w:val="bg-BG"/>
        </w:rPr>
        <w:t>.  Като посочва това, Съдът все пак приема, че с оглед на медицинското им състояние и прогнозата за развитието му, жалбоподателите са имали по-сериозен интерес от други пациенти да получат достъп до експериментално лечение, чието качество, безопасност и ефикасност все още не са били подложени на задълбочено тестване.</w:t>
      </w:r>
    </w:p>
    <w:p w:rsidR="0095532B" w:rsidRPr="00006A07" w:rsidRDefault="0095532B" w:rsidP="008D7A78">
      <w:pPr>
        <w:pStyle w:val="JuPara"/>
        <w:rPr>
          <w:lang w:val="bg-BG"/>
        </w:rPr>
      </w:pPr>
      <w:r w:rsidRPr="00006A07">
        <w:rPr>
          <w:lang w:val="bg-BG"/>
        </w:rPr>
        <w:fldChar w:fldCharType="begin"/>
      </w:r>
      <w:r w:rsidRPr="00006A07">
        <w:rPr>
          <w:lang w:val="bg-BG"/>
        </w:rPr>
        <w:instrText xml:space="preserve"> SEQ level0 \*arabic </w:instrText>
      </w:r>
      <w:r w:rsidRPr="00006A07">
        <w:rPr>
          <w:lang w:val="bg-BG"/>
        </w:rPr>
        <w:fldChar w:fldCharType="separate"/>
      </w:r>
      <w:r w:rsidRPr="00006A07">
        <w:rPr>
          <w:noProof/>
          <w:lang w:val="bg-BG"/>
        </w:rPr>
        <w:t>122</w:t>
      </w:r>
      <w:r w:rsidRPr="00006A07">
        <w:rPr>
          <w:lang w:val="bg-BG"/>
        </w:rPr>
        <w:fldChar w:fldCharType="end"/>
      </w:r>
      <w:r w:rsidRPr="00006A07">
        <w:rPr>
          <w:lang w:val="bg-BG"/>
        </w:rPr>
        <w:t xml:space="preserve">.  Противостоящият обществен интерес при регулирането на достъпа на терминално болни пациенти като жалбоподателите до експериментални продукти, изглежда основан на три предпоставки. Първо, да ги предпази, с оглед на уязвимото им състояние и липсата на ясна информация за потенциалните рискове и ползи на експерименталните лечения, от начин на действие, който може да се окаже вреден за собственото им здраве и живот, независимо от терминалното им състояние (вж., </w:t>
      </w:r>
      <w:proofErr w:type="spellStart"/>
      <w:r w:rsidRPr="00006A07">
        <w:rPr>
          <w:i/>
          <w:iCs/>
          <w:lang w:val="bg-BG"/>
        </w:rPr>
        <w:t>mutatis</w:t>
      </w:r>
      <w:proofErr w:type="spellEnd"/>
      <w:r w:rsidRPr="00006A07">
        <w:rPr>
          <w:i/>
          <w:iCs/>
          <w:lang w:val="bg-BG"/>
        </w:rPr>
        <w:t xml:space="preserve"> </w:t>
      </w:r>
      <w:proofErr w:type="spellStart"/>
      <w:r w:rsidRPr="00006A07">
        <w:rPr>
          <w:i/>
          <w:iCs/>
          <w:lang w:val="bg-BG"/>
        </w:rPr>
        <w:t>mutandis</w:t>
      </w:r>
      <w:proofErr w:type="spellEnd"/>
      <w:r w:rsidRPr="00006A07">
        <w:rPr>
          <w:lang w:val="bg-BG"/>
        </w:rPr>
        <w:t xml:space="preserve">, </w:t>
      </w:r>
      <w:proofErr w:type="spellStart"/>
      <w:r w:rsidRPr="00006A07">
        <w:rPr>
          <w:i/>
          <w:iCs/>
          <w:lang w:val="bg-BG"/>
        </w:rPr>
        <w:t>Haas</w:t>
      </w:r>
      <w:proofErr w:type="spellEnd"/>
      <w:r w:rsidRPr="00006A07">
        <w:rPr>
          <w:lang w:val="bg-BG"/>
        </w:rPr>
        <w:t xml:space="preserve">, цитирано по-горе, § 54). Съдът отбелязва в тази връзка, че е подчертал, макар и в различен контекст, важността на информираното съгласие при медицинските процедури (вж. </w:t>
      </w:r>
      <w:r w:rsidRPr="00006A07">
        <w:rPr>
          <w:i/>
          <w:iCs/>
          <w:lang w:val="bg-BG"/>
        </w:rPr>
        <w:t>V.C. v. </w:t>
      </w:r>
      <w:proofErr w:type="spellStart"/>
      <w:r w:rsidRPr="00006A07">
        <w:rPr>
          <w:i/>
          <w:iCs/>
          <w:lang w:val="bg-BG"/>
        </w:rPr>
        <w:t>Slovakia</w:t>
      </w:r>
      <w:proofErr w:type="spellEnd"/>
      <w:r w:rsidRPr="00006A07">
        <w:rPr>
          <w:lang w:val="bg-BG"/>
        </w:rPr>
        <w:t xml:space="preserve">, </w:t>
      </w:r>
      <w:proofErr w:type="spellStart"/>
      <w:r w:rsidRPr="00006A07">
        <w:rPr>
          <w:lang w:val="bg-BG"/>
        </w:rPr>
        <w:t>no</w:t>
      </w:r>
      <w:proofErr w:type="spellEnd"/>
      <w:r w:rsidRPr="00006A07">
        <w:rPr>
          <w:lang w:val="bg-BG"/>
        </w:rPr>
        <w:t xml:space="preserve">. 18968/07, §§ 107 </w:t>
      </w:r>
      <w:r w:rsidRPr="00006A07">
        <w:rPr>
          <w:lang w:val="bg-BG"/>
        </w:rPr>
        <w:noBreakHyphen/>
        <w:t xml:space="preserve"> 17 и 152, ECHR 2011 г.</w:t>
      </w:r>
      <w:r w:rsidRPr="00006A07">
        <w:rPr>
          <w:lang w:val="bg-BG"/>
        </w:rPr>
        <w:noBreakHyphen/>
        <w:t xml:space="preserve">... (извадки), и </w:t>
      </w:r>
      <w:r w:rsidRPr="00006A07">
        <w:rPr>
          <w:i/>
          <w:iCs/>
          <w:lang w:val="bg-BG"/>
        </w:rPr>
        <w:t xml:space="preserve">N.B. v. </w:t>
      </w:r>
      <w:proofErr w:type="spellStart"/>
      <w:r w:rsidRPr="00006A07">
        <w:rPr>
          <w:i/>
          <w:iCs/>
          <w:lang w:val="bg-BG"/>
        </w:rPr>
        <w:t>Slovakia</w:t>
      </w:r>
      <w:proofErr w:type="spellEnd"/>
      <w:r w:rsidRPr="00006A07">
        <w:rPr>
          <w:lang w:val="bg-BG"/>
        </w:rPr>
        <w:t xml:space="preserve">, </w:t>
      </w:r>
      <w:proofErr w:type="spellStart"/>
      <w:r w:rsidRPr="00006A07">
        <w:rPr>
          <w:lang w:val="bg-BG"/>
        </w:rPr>
        <w:t>no</w:t>
      </w:r>
      <w:proofErr w:type="spellEnd"/>
      <w:r w:rsidRPr="00006A07">
        <w:rPr>
          <w:lang w:val="bg-BG"/>
        </w:rPr>
        <w:t>. 29518/10</w:t>
      </w:r>
      <w:r w:rsidRPr="00006A07">
        <w:rPr>
          <w:snapToGrid w:val="0"/>
          <w:lang w:val="bg-BG"/>
        </w:rPr>
        <w:t xml:space="preserve">, §§ 76 </w:t>
      </w:r>
      <w:r w:rsidRPr="00006A07">
        <w:rPr>
          <w:snapToGrid w:val="0"/>
          <w:lang w:val="bg-BG"/>
        </w:rPr>
        <w:noBreakHyphen/>
        <w:t xml:space="preserve"> 78 и 96, 12 юни 2012 г.</w:t>
      </w:r>
      <w:r w:rsidRPr="00006A07">
        <w:rPr>
          <w:lang w:val="bg-BG"/>
        </w:rPr>
        <w:t xml:space="preserve">). Второ, да гарантира, че забраната, въведена в член 7(1) от Закона за лекарствените продукти в хуманната медицина от 2007 г. (вж. параграф </w:t>
      </w:r>
      <w:r w:rsidRPr="00006A07">
        <w:rPr>
          <w:lang w:val="bg-BG"/>
        </w:rPr>
        <w:fldChar w:fldCharType="begin"/>
      </w:r>
      <w:r w:rsidRPr="00006A07">
        <w:rPr>
          <w:lang w:val="bg-BG"/>
        </w:rPr>
        <w:instrText xml:space="preserve"> REF RDL_2007_Act_section_7 \h </w:instrText>
      </w:r>
      <w:r w:rsidRPr="00006A07">
        <w:rPr>
          <w:lang w:val="bg-BG"/>
        </w:rPr>
      </w:r>
      <w:r w:rsidRPr="00006A07">
        <w:rPr>
          <w:lang w:val="bg-BG"/>
        </w:rPr>
        <w:fldChar w:fldCharType="separate"/>
      </w:r>
      <w:r w:rsidRPr="00006A07">
        <w:rPr>
          <w:noProof/>
          <w:lang w:val="bg-BG"/>
        </w:rPr>
        <w:t>22</w:t>
      </w:r>
      <w:r w:rsidRPr="00006A07">
        <w:rPr>
          <w:lang w:val="bg-BG"/>
        </w:rPr>
        <w:fldChar w:fldCharType="end"/>
      </w:r>
      <w:r w:rsidRPr="00006A07">
        <w:rPr>
          <w:lang w:val="bg-BG"/>
        </w:rPr>
        <w:t xml:space="preserve"> по-горе) на производството, вноса, търговията, рекламата или употребата за медицинско лечение, профилактика или диагностика на продукти, които не са получили разрешение за употреба съгласно подходящите регулаторни начини, няма да бъде обезценена или </w:t>
      </w:r>
      <w:proofErr w:type="spellStart"/>
      <w:r w:rsidRPr="00006A07">
        <w:rPr>
          <w:lang w:val="bg-BG"/>
        </w:rPr>
        <w:t>заобиколена</w:t>
      </w:r>
      <w:proofErr w:type="spellEnd"/>
      <w:r w:rsidRPr="00006A07">
        <w:rPr>
          <w:lang w:val="bg-BG"/>
        </w:rPr>
        <w:t xml:space="preserve">. Трето, да гарантира, че </w:t>
      </w:r>
      <w:r w:rsidRPr="00006A07">
        <w:rPr>
          <w:lang w:val="bg-BG"/>
        </w:rPr>
        <w:lastRenderedPageBreak/>
        <w:t>разработването на нови лекарствени продукти няма да бъде компрометирано например от намалено участие на пациенти в клинични изпитвания. Всички тези интереси са свързани – първият – по по-конкретен начин, а вторият и третият – по по-общ – с правата, гарантирани по членове 2, 3 и 8 Конвенцията. Освен това балансирането им спрямо интересите на жалбоподателите засяга сложни етични въпроси и въпроси, свързани с оценката на риска, като се има предвид бързото развитие на медицината и науката</w:t>
      </w:r>
      <w:r w:rsidRPr="00006A07">
        <w:rPr>
          <w:lang w:val="bg-BG" w:eastAsia="en-US"/>
        </w:rPr>
        <w:t>.</w:t>
      </w:r>
    </w:p>
    <w:p w:rsidR="0095532B" w:rsidRPr="00006A07" w:rsidRDefault="0095532B" w:rsidP="008D7A78">
      <w:pPr>
        <w:pStyle w:val="JuPara"/>
        <w:rPr>
          <w:lang w:val="bg-BG" w:eastAsia="en-US"/>
        </w:rPr>
      </w:pPr>
      <w:r w:rsidRPr="00006A07">
        <w:rPr>
          <w:lang w:val="bg-BG"/>
        </w:rPr>
        <w:fldChar w:fldCharType="begin"/>
      </w:r>
      <w:r w:rsidRPr="00006A07">
        <w:rPr>
          <w:lang w:val="bg-BG"/>
        </w:rPr>
        <w:instrText xml:space="preserve"> SEQ level0 \*arabic </w:instrText>
      </w:r>
      <w:r w:rsidRPr="00006A07">
        <w:rPr>
          <w:lang w:val="bg-BG"/>
        </w:rPr>
        <w:fldChar w:fldCharType="separate"/>
      </w:r>
      <w:r w:rsidRPr="00006A07">
        <w:rPr>
          <w:noProof/>
          <w:lang w:val="bg-BG"/>
        </w:rPr>
        <w:t>123</w:t>
      </w:r>
      <w:r w:rsidRPr="00006A07">
        <w:rPr>
          <w:lang w:val="bg-BG"/>
        </w:rPr>
        <w:fldChar w:fldCharType="end"/>
      </w:r>
      <w:r w:rsidRPr="00006A07">
        <w:rPr>
          <w:lang w:val="bg-BG"/>
        </w:rPr>
        <w:t xml:space="preserve">.  По отношение на консенсуса между Договарящите държави, Съдът отбелязва, че съгласно сравнителната правна информация, с която разполага, няколко от тези Държави са предвидили в своите закони изключения – по-специално, в случая на терминално болни пациенти – от правилото, че само разрешени за употреба лекарствени продукти могат да бъдат използвани за медицинско лечение. Те обаче са обвързали предоставянето на тази възможност с условия с различна строгост (вж. параграфи </w:t>
      </w:r>
      <w:r w:rsidRPr="00006A07">
        <w:rPr>
          <w:lang w:val="bg-BG"/>
        </w:rPr>
        <w:fldChar w:fldCharType="begin"/>
      </w:r>
      <w:r w:rsidRPr="00006A07">
        <w:rPr>
          <w:lang w:val="bg-BG"/>
        </w:rPr>
        <w:instrText xml:space="preserve"> REF RCM_ECRIN_survey \h </w:instrText>
      </w:r>
      <w:r w:rsidRPr="00006A07">
        <w:rPr>
          <w:lang w:val="bg-BG"/>
        </w:rPr>
      </w:r>
      <w:r w:rsidRPr="00006A07">
        <w:rPr>
          <w:lang w:val="bg-BG"/>
        </w:rPr>
        <w:fldChar w:fldCharType="separate"/>
      </w:r>
      <w:r w:rsidRPr="00006A07">
        <w:rPr>
          <w:noProof/>
          <w:lang w:val="bg-BG"/>
        </w:rPr>
        <w:t>54</w:t>
      </w:r>
      <w:r w:rsidRPr="00006A07">
        <w:rPr>
          <w:lang w:val="bg-BG"/>
        </w:rPr>
        <w:fldChar w:fldCharType="end"/>
      </w:r>
      <w:r w:rsidRPr="00006A07">
        <w:rPr>
          <w:lang w:val="bg-BG"/>
        </w:rPr>
        <w:t xml:space="preserve"> </w:t>
      </w:r>
      <w:r w:rsidRPr="00006A07">
        <w:rPr>
          <w:lang w:val="bg-BG"/>
        </w:rPr>
        <w:noBreakHyphen/>
        <w:t xml:space="preserve"> </w:t>
      </w:r>
      <w:r w:rsidRPr="00006A07">
        <w:rPr>
          <w:lang w:val="bg-BG"/>
        </w:rPr>
        <w:fldChar w:fldCharType="begin"/>
      </w:r>
      <w:r w:rsidRPr="00006A07">
        <w:rPr>
          <w:lang w:val="bg-BG"/>
        </w:rPr>
        <w:instrText xml:space="preserve"> REF RCM_comp_material \h </w:instrText>
      </w:r>
      <w:r w:rsidRPr="00006A07">
        <w:rPr>
          <w:lang w:val="bg-BG"/>
        </w:rPr>
      </w:r>
      <w:r w:rsidRPr="00006A07">
        <w:rPr>
          <w:lang w:val="bg-BG"/>
        </w:rPr>
        <w:fldChar w:fldCharType="separate"/>
      </w:r>
      <w:r w:rsidRPr="00006A07">
        <w:rPr>
          <w:noProof/>
          <w:lang w:val="bg-BG"/>
        </w:rPr>
        <w:t>55</w:t>
      </w:r>
      <w:r w:rsidRPr="00006A07">
        <w:rPr>
          <w:lang w:val="bg-BG"/>
        </w:rPr>
        <w:fldChar w:fldCharType="end"/>
      </w:r>
      <w:r w:rsidRPr="00006A07">
        <w:rPr>
          <w:lang w:val="bg-BG"/>
        </w:rPr>
        <w:t xml:space="preserve"> по-горе). Въз основа на това и на начина, по който този въпрос е уреден в правото на </w:t>
      </w:r>
      <w:r w:rsidRPr="00006A07">
        <w:rPr>
          <w:lang w:val="bg-BG" w:eastAsia="en-US"/>
        </w:rPr>
        <w:t xml:space="preserve">Европейския съюз (вж. параграфи </w:t>
      </w:r>
      <w:r w:rsidRPr="00006A07">
        <w:rPr>
          <w:lang w:val="bg-BG" w:eastAsia="en-US"/>
        </w:rPr>
        <w:fldChar w:fldCharType="begin"/>
      </w:r>
      <w:r w:rsidRPr="00006A07">
        <w:rPr>
          <w:lang w:val="bg-BG" w:eastAsia="en-US"/>
        </w:rPr>
        <w:instrText xml:space="preserve"> REF REUL_Directive_2001_83_EC_Article_6_1 \h </w:instrText>
      </w:r>
      <w:r w:rsidRPr="00006A07">
        <w:rPr>
          <w:lang w:val="bg-BG" w:eastAsia="en-US"/>
        </w:rPr>
      </w:r>
      <w:r w:rsidRPr="00006A07">
        <w:rPr>
          <w:lang w:val="bg-BG" w:eastAsia="en-US"/>
        </w:rPr>
        <w:fldChar w:fldCharType="separate"/>
      </w:r>
      <w:r w:rsidRPr="00006A07">
        <w:rPr>
          <w:noProof/>
          <w:lang w:val="bg-BG"/>
        </w:rPr>
        <w:t>44</w:t>
      </w:r>
      <w:r w:rsidRPr="00006A07">
        <w:rPr>
          <w:lang w:val="bg-BG" w:eastAsia="en-US"/>
        </w:rPr>
        <w:fldChar w:fldCharType="end"/>
      </w:r>
      <w:r w:rsidRPr="00006A07">
        <w:rPr>
          <w:lang w:val="bg-BG" w:eastAsia="en-US"/>
        </w:rPr>
        <w:t xml:space="preserve"> </w:t>
      </w:r>
      <w:r w:rsidRPr="00006A07">
        <w:rPr>
          <w:lang w:val="bg-BG" w:eastAsia="en-US"/>
        </w:rPr>
        <w:noBreakHyphen/>
        <w:t xml:space="preserve"> </w:t>
      </w:r>
      <w:r w:rsidRPr="00006A07">
        <w:rPr>
          <w:lang w:val="bg-BG" w:eastAsia="en-US"/>
        </w:rPr>
        <w:fldChar w:fldCharType="begin"/>
      </w:r>
      <w:r w:rsidRPr="00006A07">
        <w:rPr>
          <w:lang w:val="bg-BG" w:eastAsia="en-US"/>
        </w:rPr>
        <w:instrText xml:space="preserve"> REF REUL_Regulation_726_2004_Article_83_gln \h </w:instrText>
      </w:r>
      <w:r w:rsidRPr="00006A07">
        <w:rPr>
          <w:lang w:val="bg-BG" w:eastAsia="en-US"/>
        </w:rPr>
      </w:r>
      <w:r w:rsidRPr="00006A07">
        <w:rPr>
          <w:lang w:val="bg-BG" w:eastAsia="en-US"/>
        </w:rPr>
        <w:fldChar w:fldCharType="separate"/>
      </w:r>
      <w:r w:rsidRPr="00006A07">
        <w:rPr>
          <w:noProof/>
          <w:lang w:val="bg-BG"/>
        </w:rPr>
        <w:t>51</w:t>
      </w:r>
      <w:r w:rsidRPr="00006A07">
        <w:rPr>
          <w:lang w:val="bg-BG" w:eastAsia="en-US"/>
        </w:rPr>
        <w:fldChar w:fldCharType="end"/>
      </w:r>
      <w:r w:rsidRPr="00006A07">
        <w:rPr>
          <w:lang w:val="bg-BG" w:eastAsia="en-US"/>
        </w:rPr>
        <w:t xml:space="preserve"> по-горе), Съдът заключава, че в момента има ясна тенденция в Договарящите държави в посока на разрешаването при определени изключителни условия на използването на неразрешени за употреба лекарствени продукти. Този постепенно формиращ се консенсус обаче не е основан на установени принципи в правото на Договарящите държави. Освен това не изглежда той да се разпростира до точния начин, по който тази употреба следва да бъде регулирана.</w:t>
      </w:r>
    </w:p>
    <w:p w:rsidR="0095532B" w:rsidRPr="00006A07" w:rsidRDefault="0095532B" w:rsidP="008D7A78">
      <w:pPr>
        <w:pStyle w:val="JuPara"/>
        <w:rPr>
          <w:lang w:val="bg-BG" w:eastAsia="en-US"/>
        </w:rPr>
      </w:pPr>
      <w:r w:rsidRPr="00006A07">
        <w:rPr>
          <w:lang w:val="bg-BG" w:eastAsia="en-US"/>
        </w:rPr>
        <w:fldChar w:fldCharType="begin"/>
      </w:r>
      <w:r w:rsidRPr="00006A07">
        <w:rPr>
          <w:lang w:val="bg-BG" w:eastAsia="en-US"/>
        </w:rPr>
        <w:instrText xml:space="preserve"> SEQ level0 \*arabic </w:instrText>
      </w:r>
      <w:r w:rsidRPr="00006A07">
        <w:rPr>
          <w:lang w:val="bg-BG" w:eastAsia="en-US"/>
        </w:rPr>
        <w:fldChar w:fldCharType="separate"/>
      </w:r>
      <w:r w:rsidRPr="00006A07">
        <w:rPr>
          <w:noProof/>
          <w:lang w:val="bg-BG" w:eastAsia="en-US"/>
        </w:rPr>
        <w:t>124</w:t>
      </w:r>
      <w:r w:rsidRPr="00006A07">
        <w:rPr>
          <w:lang w:val="bg-BG" w:eastAsia="en-US"/>
        </w:rPr>
        <w:fldChar w:fldCharType="end"/>
      </w:r>
      <w:r w:rsidRPr="00006A07">
        <w:rPr>
          <w:lang w:val="bg-BG" w:eastAsia="en-US"/>
        </w:rPr>
        <w:t xml:space="preserve">.  Въз основа на горепосочените съображения Съдът заключава, че свободата на преценка, която следва да бъде позволена на държавата ответник, трябва да бъде широка, особено що се отнася до подробните правила, които тя приема с оглед на постигането на баланс между конкуриращите се обществени и лични интереси (вж., </w:t>
      </w:r>
      <w:proofErr w:type="spellStart"/>
      <w:r w:rsidRPr="00006A07">
        <w:rPr>
          <w:i/>
          <w:iCs/>
          <w:lang w:val="bg-BG" w:eastAsia="en-US"/>
        </w:rPr>
        <w:t>mutatis</w:t>
      </w:r>
      <w:proofErr w:type="spellEnd"/>
      <w:r w:rsidRPr="00006A07">
        <w:rPr>
          <w:i/>
          <w:iCs/>
          <w:lang w:val="bg-BG" w:eastAsia="en-US"/>
        </w:rPr>
        <w:t xml:space="preserve"> </w:t>
      </w:r>
      <w:proofErr w:type="spellStart"/>
      <w:r w:rsidRPr="00006A07">
        <w:rPr>
          <w:i/>
          <w:iCs/>
          <w:lang w:val="bg-BG" w:eastAsia="en-US"/>
        </w:rPr>
        <w:t>mutandis</w:t>
      </w:r>
      <w:proofErr w:type="spellEnd"/>
      <w:r w:rsidRPr="00006A07">
        <w:rPr>
          <w:lang w:val="bg-BG" w:eastAsia="en-US"/>
        </w:rPr>
        <w:t xml:space="preserve">, </w:t>
      </w:r>
      <w:proofErr w:type="spellStart"/>
      <w:r w:rsidRPr="00006A07">
        <w:rPr>
          <w:i/>
          <w:iCs/>
          <w:lang w:val="bg-BG" w:eastAsia="en-US"/>
        </w:rPr>
        <w:t>Evans</w:t>
      </w:r>
      <w:proofErr w:type="spellEnd"/>
      <w:r w:rsidRPr="00006A07">
        <w:rPr>
          <w:lang w:val="bg-BG" w:eastAsia="en-US"/>
        </w:rPr>
        <w:t xml:space="preserve">, § 82, и </w:t>
      </w:r>
      <w:r w:rsidRPr="00006A07">
        <w:rPr>
          <w:i/>
          <w:iCs/>
          <w:lang w:val="bg-BG"/>
        </w:rPr>
        <w:t xml:space="preserve">S.H. </w:t>
      </w:r>
      <w:proofErr w:type="spellStart"/>
      <w:r w:rsidRPr="00006A07">
        <w:rPr>
          <w:i/>
          <w:iCs/>
          <w:lang w:val="bg-BG"/>
        </w:rPr>
        <w:t>and</w:t>
      </w:r>
      <w:proofErr w:type="spellEnd"/>
      <w:r w:rsidRPr="00006A07">
        <w:rPr>
          <w:i/>
          <w:iCs/>
          <w:lang w:val="bg-BG"/>
        </w:rPr>
        <w:t xml:space="preserve"> </w:t>
      </w:r>
      <w:proofErr w:type="spellStart"/>
      <w:r w:rsidRPr="00006A07">
        <w:rPr>
          <w:i/>
          <w:iCs/>
          <w:lang w:val="bg-BG"/>
        </w:rPr>
        <w:t>Others</w:t>
      </w:r>
      <w:proofErr w:type="spellEnd"/>
      <w:r w:rsidRPr="00006A07">
        <w:rPr>
          <w:i/>
          <w:iCs/>
          <w:lang w:val="bg-BG"/>
        </w:rPr>
        <w:t xml:space="preserve"> v. </w:t>
      </w:r>
      <w:proofErr w:type="spellStart"/>
      <w:r w:rsidRPr="00006A07">
        <w:rPr>
          <w:i/>
          <w:iCs/>
          <w:lang w:val="bg-BG"/>
        </w:rPr>
        <w:t>Austria</w:t>
      </w:r>
      <w:proofErr w:type="spellEnd"/>
      <w:r w:rsidRPr="00006A07">
        <w:rPr>
          <w:lang w:val="bg-BG"/>
        </w:rPr>
        <w:t xml:space="preserve">, § </w:t>
      </w:r>
      <w:r w:rsidRPr="00006A07">
        <w:rPr>
          <w:lang w:val="bg-BG" w:eastAsia="en-US"/>
        </w:rPr>
        <w:t xml:space="preserve">97, и двете  </w:t>
      </w:r>
      <w:r w:rsidRPr="00006A07">
        <w:rPr>
          <w:lang w:val="bg-BG"/>
        </w:rPr>
        <w:t>цитирани по-горе</w:t>
      </w:r>
      <w:r w:rsidRPr="00006A07">
        <w:rPr>
          <w:lang w:val="bg-BG" w:eastAsia="en-US"/>
        </w:rPr>
        <w:t>).</w:t>
      </w:r>
    </w:p>
    <w:p w:rsidR="0095532B" w:rsidRPr="00006A07" w:rsidRDefault="0095532B" w:rsidP="008D7A78">
      <w:pPr>
        <w:pStyle w:val="JuHa0"/>
        <w:rPr>
          <w:lang w:val="bg-BG"/>
        </w:rPr>
      </w:pPr>
      <w:r w:rsidRPr="00006A07">
        <w:rPr>
          <w:lang w:val="bg-BG"/>
        </w:rPr>
        <w:t>г)  Балансиране на интересите</w:t>
      </w:r>
    </w:p>
    <w:p w:rsidR="0095532B" w:rsidRPr="00006A07" w:rsidRDefault="0095532B" w:rsidP="008D7A78">
      <w:pPr>
        <w:pStyle w:val="JuPara"/>
        <w:rPr>
          <w:lang w:val="bg-BG"/>
        </w:rPr>
      </w:pPr>
      <w:r w:rsidRPr="00006A07">
        <w:rPr>
          <w:lang w:val="bg-BG"/>
        </w:rPr>
        <w:fldChar w:fldCharType="begin"/>
      </w:r>
      <w:r w:rsidRPr="00006A07">
        <w:rPr>
          <w:lang w:val="bg-BG"/>
        </w:rPr>
        <w:instrText xml:space="preserve"> SEQ level0 \*arabic </w:instrText>
      </w:r>
      <w:r w:rsidRPr="00006A07">
        <w:rPr>
          <w:lang w:val="bg-BG"/>
        </w:rPr>
        <w:fldChar w:fldCharType="separate"/>
      </w:r>
      <w:r w:rsidRPr="00006A07">
        <w:rPr>
          <w:noProof/>
          <w:lang w:val="bg-BG"/>
        </w:rPr>
        <w:t>125</w:t>
      </w:r>
      <w:r w:rsidRPr="00006A07">
        <w:rPr>
          <w:lang w:val="bg-BG"/>
        </w:rPr>
        <w:fldChar w:fldCharType="end"/>
      </w:r>
      <w:r w:rsidRPr="00006A07">
        <w:rPr>
          <w:lang w:val="bg-BG"/>
        </w:rPr>
        <w:t xml:space="preserve">.  Българските държавни власти са избрали да балансират конкуриращите се интереси, като позволяват на пациенти, които не могат да бъдат задоволително лекувани с разрешени лекарствени продукти, включително на терминално болни пациенти като жалбоподателите, да получат при определени условия лекарствени продукти, които не са разрешени за употреба в България, но само ако тези продукти вече са разрешени за употреба в друга държава (вж. параграфи </w:t>
      </w:r>
      <w:r w:rsidR="009F33C6">
        <w:fldChar w:fldCharType="begin"/>
      </w:r>
      <w:r w:rsidR="009F33C6">
        <w:instrText xml:space="preserve"> REF RDL_Regulations_2_2 \h  \* MERGEFORMAT </w:instrText>
      </w:r>
      <w:r w:rsidR="009F33C6">
        <w:fldChar w:fldCharType="separate"/>
      </w:r>
      <w:r w:rsidRPr="00006A07">
        <w:rPr>
          <w:noProof/>
          <w:lang w:val="bg-BG"/>
        </w:rPr>
        <w:t>26</w:t>
      </w:r>
      <w:r w:rsidR="009F33C6">
        <w:fldChar w:fldCharType="end"/>
      </w:r>
      <w:r w:rsidRPr="00006A07">
        <w:rPr>
          <w:lang w:val="bg-BG"/>
        </w:rPr>
        <w:t xml:space="preserve"> и </w:t>
      </w:r>
      <w:r w:rsidR="009F33C6">
        <w:fldChar w:fldCharType="begin"/>
      </w:r>
      <w:r w:rsidR="009F33C6">
        <w:instrText xml:space="preserve"> REF RDL_Regulations_10_substantive \h  \* MERGEFORMAT </w:instrText>
      </w:r>
      <w:r w:rsidR="009F33C6">
        <w:fldChar w:fldCharType="separate"/>
      </w:r>
      <w:r w:rsidRPr="00006A07">
        <w:rPr>
          <w:noProof/>
          <w:lang w:val="bg-BG"/>
        </w:rPr>
        <w:t>31</w:t>
      </w:r>
      <w:r w:rsidR="009F33C6">
        <w:fldChar w:fldCharType="end"/>
      </w:r>
      <w:r w:rsidRPr="00006A07">
        <w:rPr>
          <w:lang w:val="bg-BG"/>
        </w:rPr>
        <w:t xml:space="preserve"> по-горе). Това очевидно е основната причина за отказите на Изпълнителната агенция по лекарствата по случаите на жалбоподателите (вж. параграф </w:t>
      </w:r>
      <w:r w:rsidR="009F33C6">
        <w:fldChar w:fldCharType="begin"/>
      </w:r>
      <w:r w:rsidR="009F33C6">
        <w:instrText xml:space="preserve"> REF F_Executive_Drugs_Agency_decisions \h  \* MERGEFORMAT </w:instrText>
      </w:r>
      <w:r w:rsidR="009F33C6">
        <w:fldChar w:fldCharType="separate"/>
      </w:r>
      <w:r w:rsidRPr="00006A07">
        <w:rPr>
          <w:noProof/>
          <w:lang w:val="bg-BG"/>
        </w:rPr>
        <w:t>14</w:t>
      </w:r>
      <w:r w:rsidR="009F33C6">
        <w:fldChar w:fldCharType="end"/>
      </w:r>
      <w:r w:rsidRPr="00006A07">
        <w:rPr>
          <w:lang w:val="bg-BG"/>
        </w:rPr>
        <w:t xml:space="preserve"> по-горе). Такова решение наклонява </w:t>
      </w:r>
      <w:r w:rsidRPr="00006A07">
        <w:rPr>
          <w:lang w:val="bg-BG"/>
        </w:rPr>
        <w:lastRenderedPageBreak/>
        <w:t xml:space="preserve">баланса между потенциалните терапевтични ползи и избягването на медицинския риск решително в полза на последното, защото лекарствените продукти, разрешени в друга държава, вероятно вече са били подложени на задълбочено тестване на безопасността и ефективността им. В същото време то оставя извън ограниченията продукти, които все още с в различни стадии на разработване. С оглед на широката свобода на преценка на властите в тази сфера, Съдът не счита, че това регулаторно решение противоречи на член 8. Не е задача на международен съд да определя вместо компетентните национални власти какво е приемливото ниво на риска при тези обстоятелства. Очевидният въпрос по отношение на член 8 не е дали едно различно решение би могло да постигне по-справедлив баланс, а дали при постигането на баланс в точката, в която са го направили, българските власти са надхвърлили широката свобода на преценка, която им е позволена (вж., </w:t>
      </w:r>
      <w:proofErr w:type="spellStart"/>
      <w:r w:rsidRPr="00006A07">
        <w:rPr>
          <w:i/>
          <w:iCs/>
          <w:lang w:val="bg-BG"/>
        </w:rPr>
        <w:t>mutatis</w:t>
      </w:r>
      <w:proofErr w:type="spellEnd"/>
      <w:r w:rsidRPr="00006A07">
        <w:rPr>
          <w:i/>
          <w:iCs/>
          <w:lang w:val="bg-BG"/>
        </w:rPr>
        <w:t xml:space="preserve"> </w:t>
      </w:r>
      <w:proofErr w:type="spellStart"/>
      <w:r w:rsidRPr="00006A07">
        <w:rPr>
          <w:i/>
          <w:iCs/>
          <w:lang w:val="bg-BG"/>
        </w:rPr>
        <w:t>mutandis</w:t>
      </w:r>
      <w:proofErr w:type="spellEnd"/>
      <w:r w:rsidRPr="00006A07">
        <w:rPr>
          <w:lang w:val="bg-BG"/>
        </w:rPr>
        <w:t xml:space="preserve">, </w:t>
      </w:r>
      <w:proofErr w:type="spellStart"/>
      <w:r w:rsidRPr="00006A07">
        <w:rPr>
          <w:i/>
          <w:iCs/>
          <w:lang w:val="bg-BG"/>
        </w:rPr>
        <w:t>Evans</w:t>
      </w:r>
      <w:proofErr w:type="spellEnd"/>
      <w:r w:rsidRPr="00006A07">
        <w:rPr>
          <w:lang w:val="bg-BG"/>
        </w:rPr>
        <w:t xml:space="preserve">, § 91, и </w:t>
      </w:r>
      <w:r w:rsidRPr="00006A07">
        <w:rPr>
          <w:i/>
          <w:iCs/>
          <w:lang w:val="bg-BG"/>
        </w:rPr>
        <w:t xml:space="preserve">S.H. </w:t>
      </w:r>
      <w:proofErr w:type="spellStart"/>
      <w:r w:rsidRPr="00006A07">
        <w:rPr>
          <w:i/>
          <w:iCs/>
          <w:lang w:val="bg-BG"/>
        </w:rPr>
        <w:t>and</w:t>
      </w:r>
      <w:proofErr w:type="spellEnd"/>
      <w:r w:rsidRPr="00006A07">
        <w:rPr>
          <w:i/>
          <w:iCs/>
          <w:lang w:val="bg-BG"/>
        </w:rPr>
        <w:t xml:space="preserve"> </w:t>
      </w:r>
      <w:proofErr w:type="spellStart"/>
      <w:r w:rsidRPr="00006A07">
        <w:rPr>
          <w:i/>
          <w:iCs/>
          <w:lang w:val="bg-BG"/>
        </w:rPr>
        <w:t>Others</w:t>
      </w:r>
      <w:proofErr w:type="spellEnd"/>
      <w:r w:rsidRPr="00006A07">
        <w:rPr>
          <w:i/>
          <w:iCs/>
          <w:lang w:val="bg-BG"/>
        </w:rPr>
        <w:t xml:space="preserve"> v. </w:t>
      </w:r>
      <w:proofErr w:type="spellStart"/>
      <w:r w:rsidRPr="00006A07">
        <w:rPr>
          <w:i/>
          <w:iCs/>
          <w:lang w:val="bg-BG"/>
        </w:rPr>
        <w:t>Austria</w:t>
      </w:r>
      <w:proofErr w:type="spellEnd"/>
      <w:r w:rsidRPr="00006A07">
        <w:rPr>
          <w:lang w:val="bg-BG"/>
        </w:rPr>
        <w:t>, § 106, и двете цитирани по-горе). С оглед на съображенията, посочени по-горе, Съдът не може да установи, че е направено това.</w:t>
      </w:r>
    </w:p>
    <w:p w:rsidR="0095532B" w:rsidRPr="00006A07" w:rsidRDefault="0095532B" w:rsidP="008D7A78">
      <w:pPr>
        <w:pStyle w:val="JuPara"/>
        <w:rPr>
          <w:lang w:val="bg-BG"/>
        </w:rPr>
      </w:pPr>
      <w:r w:rsidRPr="00006A07">
        <w:rPr>
          <w:lang w:val="bg-BG"/>
        </w:rPr>
        <w:fldChar w:fldCharType="begin"/>
      </w:r>
      <w:r w:rsidRPr="00006A07">
        <w:rPr>
          <w:lang w:val="bg-BG"/>
        </w:rPr>
        <w:instrText xml:space="preserve"> SEQ level0 \*arabic </w:instrText>
      </w:r>
      <w:r w:rsidRPr="00006A07">
        <w:rPr>
          <w:lang w:val="bg-BG"/>
        </w:rPr>
        <w:fldChar w:fldCharType="separate"/>
      </w:r>
      <w:r w:rsidRPr="00006A07">
        <w:rPr>
          <w:noProof/>
          <w:lang w:val="bg-BG"/>
        </w:rPr>
        <w:t>126</w:t>
      </w:r>
      <w:r w:rsidRPr="00006A07">
        <w:rPr>
          <w:lang w:val="bg-BG"/>
        </w:rPr>
        <w:fldChar w:fldCharType="end"/>
      </w:r>
      <w:r w:rsidRPr="00006A07">
        <w:rPr>
          <w:lang w:val="bg-BG"/>
        </w:rPr>
        <w:t xml:space="preserve">.  Другата критика на жалбоподателите срещу регулаторния режим е, че той не е позволявал в достатъчна степен да бъдат взети предвид конкретните </w:t>
      </w:r>
      <w:r w:rsidRPr="00006A07">
        <w:rPr>
          <w:lang w:val="bg-BG" w:eastAsia="en-US"/>
        </w:rPr>
        <w:t xml:space="preserve">обстоятелства по случаите. Въпреки това Съдът не намира, че това непременно е в несъответствие с член 8. Регулирането от Държавата на важни аспекти от личния живот, без да се създават разпоредби за уравновесяването на конкуриращите се интереси при обстоятелствата на всеки отделен случай, само по себе си не противоречи на </w:t>
      </w:r>
      <w:r w:rsidRPr="00006A07">
        <w:rPr>
          <w:lang w:val="bg-BG"/>
        </w:rPr>
        <w:t xml:space="preserve">изискванията на тази разпоредба от Конвенцията (вж., </w:t>
      </w:r>
      <w:proofErr w:type="spellStart"/>
      <w:r w:rsidRPr="00006A07">
        <w:rPr>
          <w:i/>
          <w:iCs/>
          <w:lang w:val="bg-BG"/>
        </w:rPr>
        <w:t>mutatis</w:t>
      </w:r>
      <w:proofErr w:type="spellEnd"/>
      <w:r w:rsidRPr="00006A07">
        <w:rPr>
          <w:i/>
          <w:iCs/>
          <w:lang w:val="bg-BG"/>
        </w:rPr>
        <w:t xml:space="preserve"> </w:t>
      </w:r>
      <w:proofErr w:type="spellStart"/>
      <w:r w:rsidRPr="00006A07">
        <w:rPr>
          <w:i/>
          <w:iCs/>
          <w:lang w:val="bg-BG"/>
        </w:rPr>
        <w:t>mutandis</w:t>
      </w:r>
      <w:proofErr w:type="spellEnd"/>
      <w:r w:rsidRPr="00006A07">
        <w:rPr>
          <w:lang w:val="bg-BG"/>
        </w:rPr>
        <w:t xml:space="preserve">, </w:t>
      </w:r>
      <w:proofErr w:type="spellStart"/>
      <w:r w:rsidRPr="00006A07">
        <w:rPr>
          <w:i/>
          <w:iCs/>
          <w:lang w:val="bg-BG"/>
        </w:rPr>
        <w:t>Pretty</w:t>
      </w:r>
      <w:proofErr w:type="spellEnd"/>
      <w:r w:rsidRPr="00006A07">
        <w:rPr>
          <w:lang w:val="bg-BG"/>
        </w:rPr>
        <w:t xml:space="preserve">, §§ 74 </w:t>
      </w:r>
      <w:r w:rsidRPr="00006A07">
        <w:rPr>
          <w:lang w:val="bg-BG"/>
        </w:rPr>
        <w:noBreakHyphen/>
        <w:t xml:space="preserve"> 76; </w:t>
      </w:r>
      <w:proofErr w:type="spellStart"/>
      <w:r w:rsidRPr="00006A07">
        <w:rPr>
          <w:i/>
          <w:iCs/>
          <w:lang w:val="bg-BG"/>
        </w:rPr>
        <w:t>Evans</w:t>
      </w:r>
      <w:proofErr w:type="spellEnd"/>
      <w:r w:rsidRPr="00006A07">
        <w:rPr>
          <w:lang w:val="bg-BG"/>
        </w:rPr>
        <w:t xml:space="preserve">, § 89; и </w:t>
      </w:r>
      <w:r w:rsidRPr="00006A07">
        <w:rPr>
          <w:i/>
          <w:iCs/>
          <w:lang w:val="bg-BG"/>
        </w:rPr>
        <w:t xml:space="preserve">S.H. </w:t>
      </w:r>
      <w:proofErr w:type="spellStart"/>
      <w:r w:rsidRPr="00006A07">
        <w:rPr>
          <w:i/>
          <w:iCs/>
          <w:lang w:val="bg-BG"/>
        </w:rPr>
        <w:t>and</w:t>
      </w:r>
      <w:proofErr w:type="spellEnd"/>
      <w:r w:rsidRPr="00006A07">
        <w:rPr>
          <w:i/>
          <w:iCs/>
          <w:lang w:val="bg-BG"/>
        </w:rPr>
        <w:t xml:space="preserve"> </w:t>
      </w:r>
      <w:proofErr w:type="spellStart"/>
      <w:r w:rsidRPr="00006A07">
        <w:rPr>
          <w:i/>
          <w:iCs/>
          <w:lang w:val="bg-BG"/>
        </w:rPr>
        <w:t>Others</w:t>
      </w:r>
      <w:proofErr w:type="spellEnd"/>
      <w:r w:rsidRPr="00006A07">
        <w:rPr>
          <w:i/>
          <w:iCs/>
          <w:lang w:val="bg-BG"/>
        </w:rPr>
        <w:t xml:space="preserve"> v. </w:t>
      </w:r>
      <w:proofErr w:type="spellStart"/>
      <w:r w:rsidRPr="00006A07">
        <w:rPr>
          <w:i/>
          <w:iCs/>
          <w:lang w:val="bg-BG"/>
        </w:rPr>
        <w:t>Austria</w:t>
      </w:r>
      <w:proofErr w:type="spellEnd"/>
      <w:r w:rsidRPr="00006A07">
        <w:rPr>
          <w:lang w:val="bg-BG"/>
        </w:rPr>
        <w:t>, § 110, всички цитирани по-горе).</w:t>
      </w:r>
    </w:p>
    <w:p w:rsidR="0095532B" w:rsidRPr="00006A07" w:rsidRDefault="0095532B" w:rsidP="008D7A78">
      <w:pPr>
        <w:pStyle w:val="JuPara"/>
        <w:rPr>
          <w:lang w:val="bg-BG"/>
        </w:rPr>
      </w:pPr>
      <w:r w:rsidRPr="00006A07">
        <w:rPr>
          <w:lang w:val="bg-BG" w:eastAsia="en-US"/>
        </w:rPr>
        <w:fldChar w:fldCharType="begin"/>
      </w:r>
      <w:r w:rsidRPr="00006A07">
        <w:rPr>
          <w:lang w:val="bg-BG" w:eastAsia="en-US"/>
        </w:rPr>
        <w:instrText xml:space="preserve"> SEQ level0 \*arabic </w:instrText>
      </w:r>
      <w:r w:rsidRPr="00006A07">
        <w:rPr>
          <w:lang w:val="bg-BG" w:eastAsia="en-US"/>
        </w:rPr>
        <w:fldChar w:fldCharType="separate"/>
      </w:r>
      <w:r w:rsidRPr="00006A07">
        <w:rPr>
          <w:noProof/>
          <w:lang w:val="bg-BG" w:eastAsia="en-US"/>
        </w:rPr>
        <w:t>127</w:t>
      </w:r>
      <w:r w:rsidRPr="00006A07">
        <w:rPr>
          <w:lang w:val="bg-BG" w:eastAsia="en-US"/>
        </w:rPr>
        <w:fldChar w:fldCharType="end"/>
      </w:r>
      <w:r w:rsidRPr="00006A07">
        <w:rPr>
          <w:lang w:val="bg-BG" w:eastAsia="en-US"/>
        </w:rPr>
        <w:t>.  Следователно Съдът заключава, че не е налице нарушение на член 8 от Конвенцията.</w:t>
      </w:r>
    </w:p>
    <w:p w:rsidR="0095532B" w:rsidRPr="00006A07" w:rsidRDefault="0095532B" w:rsidP="008D7A78">
      <w:pPr>
        <w:pStyle w:val="JuHIRoman"/>
        <w:rPr>
          <w:lang w:val="bg-BG"/>
        </w:rPr>
      </w:pPr>
      <w:r w:rsidRPr="00006A07">
        <w:rPr>
          <w:lang w:val="bg-BG"/>
        </w:rPr>
        <w:t>IV.  ТВЪРДЯНО НАРУШЕНИЕ НА ЧЛЕН 13 ОТ КОНВЕНЦИЯТА</w:t>
      </w:r>
    </w:p>
    <w:p w:rsidR="0095532B" w:rsidRPr="00006A07" w:rsidRDefault="0095532B" w:rsidP="008D7A78">
      <w:pPr>
        <w:pStyle w:val="JuPara"/>
        <w:rPr>
          <w:lang w:val="bg-BG"/>
        </w:rPr>
      </w:pPr>
      <w:r w:rsidRPr="00006A07">
        <w:rPr>
          <w:lang w:val="bg-BG"/>
        </w:rPr>
        <w:fldChar w:fldCharType="begin"/>
      </w:r>
      <w:r w:rsidRPr="00006A07">
        <w:rPr>
          <w:lang w:val="bg-BG"/>
        </w:rPr>
        <w:instrText xml:space="preserve"> SEQ level0 \*arabic </w:instrText>
      </w:r>
      <w:r w:rsidRPr="00006A07">
        <w:rPr>
          <w:lang w:val="bg-BG"/>
        </w:rPr>
        <w:fldChar w:fldCharType="separate"/>
      </w:r>
      <w:r w:rsidRPr="00006A07">
        <w:rPr>
          <w:noProof/>
          <w:lang w:val="bg-BG"/>
        </w:rPr>
        <w:t>128</w:t>
      </w:r>
      <w:r w:rsidRPr="00006A07">
        <w:rPr>
          <w:lang w:val="bg-BG"/>
        </w:rPr>
        <w:fldChar w:fldCharType="end"/>
      </w:r>
      <w:r w:rsidRPr="00006A07">
        <w:rPr>
          <w:lang w:val="bg-BG"/>
        </w:rPr>
        <w:t>.  Жалбоподателите се оплакват, че не са имали ефективни правни средства за защита по отношение на твърдените нарушения на членове 2, 3 и 8 от Конвенцията. Те се позовават на член 13 от нея, който гласи следното:</w:t>
      </w:r>
    </w:p>
    <w:p w:rsidR="0095532B" w:rsidRPr="00006A07" w:rsidRDefault="0095532B" w:rsidP="008D7A78">
      <w:pPr>
        <w:pStyle w:val="JuQuot"/>
        <w:rPr>
          <w:lang w:val="bg-BG"/>
        </w:rPr>
      </w:pPr>
      <w:r w:rsidRPr="00006A07">
        <w:rPr>
          <w:lang w:val="bg-BG"/>
        </w:rPr>
        <w:t>„Всеки, чиито права и свободи, провъзгласени в [тази] Конвенция, са нарушени, има право на ефикасни правни средства за тяхната защита пред съответните национални власти, дори и нарушението да е извършено от лица, действащи при упражняване на служебни функции.“</w:t>
      </w:r>
    </w:p>
    <w:p w:rsidR="0095532B" w:rsidRPr="00006A07" w:rsidRDefault="0095532B" w:rsidP="008D7A78">
      <w:pPr>
        <w:pStyle w:val="JuPara"/>
        <w:rPr>
          <w:lang w:val="bg-BG"/>
        </w:rPr>
      </w:pPr>
      <w:r w:rsidRPr="00006A07">
        <w:rPr>
          <w:lang w:val="bg-BG"/>
        </w:rPr>
        <w:fldChar w:fldCharType="begin"/>
      </w:r>
      <w:r w:rsidRPr="00006A07">
        <w:rPr>
          <w:lang w:val="bg-BG"/>
        </w:rPr>
        <w:instrText xml:space="preserve"> SEQ level0 \*arabic </w:instrText>
      </w:r>
      <w:r w:rsidRPr="00006A07">
        <w:rPr>
          <w:lang w:val="bg-BG"/>
        </w:rPr>
        <w:fldChar w:fldCharType="separate"/>
      </w:r>
      <w:r w:rsidRPr="00006A07">
        <w:rPr>
          <w:noProof/>
          <w:lang w:val="bg-BG"/>
        </w:rPr>
        <w:t>129</w:t>
      </w:r>
      <w:r w:rsidRPr="00006A07">
        <w:rPr>
          <w:lang w:val="bg-BG"/>
        </w:rPr>
        <w:fldChar w:fldCharType="end"/>
      </w:r>
      <w:r w:rsidRPr="00006A07">
        <w:rPr>
          <w:lang w:val="bg-BG"/>
        </w:rPr>
        <w:t xml:space="preserve">.  Правителството посочва, че жалбоподателите биха могли да защитават правата си по членове 2, 3 и 8 от Конвенцията чрез подаване на </w:t>
      </w:r>
      <w:proofErr w:type="spellStart"/>
      <w:r w:rsidRPr="00006A07">
        <w:rPr>
          <w:lang w:val="bg-BG"/>
        </w:rPr>
        <w:t>деликтни</w:t>
      </w:r>
      <w:proofErr w:type="spellEnd"/>
      <w:r w:rsidRPr="00006A07">
        <w:rPr>
          <w:lang w:val="bg-BG"/>
        </w:rPr>
        <w:t xml:space="preserve"> искове за непозволено увреждане или по общото </w:t>
      </w:r>
      <w:proofErr w:type="spellStart"/>
      <w:r w:rsidRPr="00006A07">
        <w:rPr>
          <w:lang w:val="bg-BG"/>
        </w:rPr>
        <w:t>деликтно</w:t>
      </w:r>
      <w:proofErr w:type="spellEnd"/>
      <w:r w:rsidRPr="00006A07">
        <w:rPr>
          <w:lang w:val="bg-BG"/>
        </w:rPr>
        <w:t xml:space="preserve"> право, или съгласно специалните разпоредби, които уреждат </w:t>
      </w:r>
      <w:proofErr w:type="spellStart"/>
      <w:r w:rsidRPr="00006A07">
        <w:rPr>
          <w:lang w:val="bg-BG"/>
        </w:rPr>
        <w:lastRenderedPageBreak/>
        <w:t>деликтната</w:t>
      </w:r>
      <w:proofErr w:type="spellEnd"/>
      <w:r w:rsidRPr="00006A07">
        <w:rPr>
          <w:lang w:val="bg-BG"/>
        </w:rPr>
        <w:t xml:space="preserve"> отговорност на държавните власти. Те също така биха могли да обжалват отказите пред министъра на здравеопазването и след това да обжалват пред съд.</w:t>
      </w:r>
    </w:p>
    <w:p w:rsidR="0095532B" w:rsidRPr="00006A07" w:rsidRDefault="0095532B" w:rsidP="008D7A78">
      <w:pPr>
        <w:pStyle w:val="JuPara"/>
        <w:rPr>
          <w:lang w:val="bg-BG"/>
        </w:rPr>
      </w:pPr>
      <w:r w:rsidRPr="00006A07">
        <w:rPr>
          <w:lang w:val="bg-BG"/>
        </w:rPr>
        <w:fldChar w:fldCharType="begin"/>
      </w:r>
      <w:r w:rsidRPr="00006A07">
        <w:rPr>
          <w:lang w:val="bg-BG"/>
        </w:rPr>
        <w:instrText xml:space="preserve"> SEQ level0 \*arabic </w:instrText>
      </w:r>
      <w:r w:rsidRPr="00006A07">
        <w:rPr>
          <w:lang w:val="bg-BG"/>
        </w:rPr>
        <w:fldChar w:fldCharType="separate"/>
      </w:r>
      <w:r w:rsidRPr="00006A07">
        <w:rPr>
          <w:noProof/>
          <w:lang w:val="bg-BG"/>
        </w:rPr>
        <w:t>130</w:t>
      </w:r>
      <w:r w:rsidRPr="00006A07">
        <w:rPr>
          <w:lang w:val="bg-BG"/>
        </w:rPr>
        <w:fldChar w:fldCharType="end"/>
      </w:r>
      <w:r w:rsidRPr="00006A07">
        <w:rPr>
          <w:lang w:val="bg-BG"/>
        </w:rPr>
        <w:t>.  Жалбоподателите се позовават на доводите си във връзка с изчерпването на националните правни средства за защита.</w:t>
      </w:r>
    </w:p>
    <w:p w:rsidR="0095532B" w:rsidRPr="00006A07" w:rsidRDefault="0095532B" w:rsidP="008D7A78">
      <w:pPr>
        <w:pStyle w:val="JuPara"/>
        <w:rPr>
          <w:lang w:val="bg-BG" w:eastAsia="en-US"/>
        </w:rPr>
      </w:pPr>
      <w:r w:rsidRPr="00006A07">
        <w:rPr>
          <w:lang w:val="bg-BG"/>
        </w:rPr>
        <w:fldChar w:fldCharType="begin"/>
      </w:r>
      <w:r w:rsidRPr="00006A07">
        <w:rPr>
          <w:lang w:val="bg-BG"/>
        </w:rPr>
        <w:instrText xml:space="preserve"> SEQ level0 \*arabic </w:instrText>
      </w:r>
      <w:r w:rsidRPr="00006A07">
        <w:rPr>
          <w:lang w:val="bg-BG"/>
        </w:rPr>
        <w:fldChar w:fldCharType="separate"/>
      </w:r>
      <w:r w:rsidRPr="00006A07">
        <w:rPr>
          <w:noProof/>
          <w:lang w:val="bg-BG"/>
        </w:rPr>
        <w:t>131</w:t>
      </w:r>
      <w:r w:rsidRPr="00006A07">
        <w:rPr>
          <w:lang w:val="bg-BG"/>
        </w:rPr>
        <w:fldChar w:fldCharType="end"/>
      </w:r>
      <w:r w:rsidRPr="00006A07">
        <w:rPr>
          <w:lang w:val="bg-BG"/>
        </w:rPr>
        <w:t xml:space="preserve">.  Съдът отбелязва, че доколкото изглежда, че твърдените нарушения на членове 2, 3 и 8 от Конвенцията произтичат от състоянието на българското право, не възниква спорен въпрос по член 13 от Конвенцията (вж. </w:t>
      </w:r>
      <w:proofErr w:type="spellStart"/>
      <w:r w:rsidRPr="00006A07">
        <w:rPr>
          <w:i/>
          <w:iCs/>
          <w:lang w:val="bg-BG" w:eastAsia="en-US"/>
        </w:rPr>
        <w:t>Christine</w:t>
      </w:r>
      <w:proofErr w:type="spellEnd"/>
      <w:r w:rsidRPr="00006A07">
        <w:rPr>
          <w:i/>
          <w:iCs/>
          <w:lang w:val="bg-BG" w:eastAsia="en-US"/>
        </w:rPr>
        <w:t xml:space="preserve"> </w:t>
      </w:r>
      <w:proofErr w:type="spellStart"/>
      <w:r w:rsidRPr="00006A07">
        <w:rPr>
          <w:i/>
          <w:iCs/>
          <w:lang w:val="bg-BG" w:eastAsia="en-US"/>
        </w:rPr>
        <w:t>Goodwin</w:t>
      </w:r>
      <w:proofErr w:type="spellEnd"/>
      <w:r w:rsidRPr="00006A07">
        <w:rPr>
          <w:lang w:val="bg-BG" w:eastAsia="en-US"/>
        </w:rPr>
        <w:t xml:space="preserve">, цитирано по-горе, § 113; </w:t>
      </w:r>
      <w:proofErr w:type="spellStart"/>
      <w:r w:rsidRPr="00006A07">
        <w:rPr>
          <w:i/>
          <w:iCs/>
          <w:lang w:val="bg-BG" w:eastAsia="en-US"/>
        </w:rPr>
        <w:t>Appleby</w:t>
      </w:r>
      <w:proofErr w:type="spellEnd"/>
      <w:r w:rsidRPr="00006A07">
        <w:rPr>
          <w:i/>
          <w:iCs/>
          <w:lang w:val="bg-BG" w:eastAsia="en-US"/>
        </w:rPr>
        <w:t xml:space="preserve"> </w:t>
      </w:r>
      <w:proofErr w:type="spellStart"/>
      <w:r w:rsidRPr="00006A07">
        <w:rPr>
          <w:i/>
          <w:iCs/>
          <w:lang w:val="bg-BG" w:eastAsia="en-US"/>
        </w:rPr>
        <w:t>and</w:t>
      </w:r>
      <w:proofErr w:type="spellEnd"/>
      <w:r w:rsidRPr="00006A07">
        <w:rPr>
          <w:i/>
          <w:iCs/>
          <w:lang w:val="bg-BG" w:eastAsia="en-US"/>
        </w:rPr>
        <w:t xml:space="preserve"> </w:t>
      </w:r>
      <w:proofErr w:type="spellStart"/>
      <w:r w:rsidRPr="00006A07">
        <w:rPr>
          <w:i/>
          <w:iCs/>
          <w:lang w:val="bg-BG" w:eastAsia="en-US"/>
        </w:rPr>
        <w:t>Others</w:t>
      </w:r>
      <w:proofErr w:type="spellEnd"/>
      <w:r w:rsidRPr="00006A07">
        <w:rPr>
          <w:i/>
          <w:iCs/>
          <w:lang w:val="bg-BG" w:eastAsia="en-US"/>
        </w:rPr>
        <w:t xml:space="preserve"> v. </w:t>
      </w:r>
      <w:proofErr w:type="spellStart"/>
      <w:r w:rsidRPr="00006A07">
        <w:rPr>
          <w:i/>
          <w:iCs/>
          <w:lang w:val="bg-BG" w:eastAsia="en-US"/>
        </w:rPr>
        <w:t>the</w:t>
      </w:r>
      <w:proofErr w:type="spellEnd"/>
      <w:r w:rsidRPr="00006A07">
        <w:rPr>
          <w:i/>
          <w:iCs/>
          <w:lang w:val="bg-BG" w:eastAsia="en-US"/>
        </w:rPr>
        <w:t xml:space="preserve"> </w:t>
      </w:r>
      <w:proofErr w:type="spellStart"/>
      <w:r w:rsidRPr="00006A07">
        <w:rPr>
          <w:i/>
          <w:iCs/>
          <w:lang w:val="bg-BG" w:eastAsia="en-US"/>
        </w:rPr>
        <w:t>United</w:t>
      </w:r>
      <w:proofErr w:type="spellEnd"/>
      <w:r w:rsidRPr="00006A07">
        <w:rPr>
          <w:i/>
          <w:iCs/>
          <w:lang w:val="bg-BG" w:eastAsia="en-US"/>
        </w:rPr>
        <w:t xml:space="preserve"> </w:t>
      </w:r>
      <w:proofErr w:type="spellStart"/>
      <w:r w:rsidRPr="00006A07">
        <w:rPr>
          <w:i/>
          <w:iCs/>
          <w:lang w:val="bg-BG" w:eastAsia="en-US"/>
        </w:rPr>
        <w:t>Kingdom</w:t>
      </w:r>
      <w:proofErr w:type="spellEnd"/>
      <w:r w:rsidRPr="00006A07">
        <w:rPr>
          <w:lang w:val="bg-BG" w:eastAsia="en-US"/>
        </w:rPr>
        <w:t>,</w:t>
      </w:r>
      <w:proofErr w:type="spellStart"/>
      <w:r w:rsidRPr="00006A07">
        <w:rPr>
          <w:lang w:val="bg-BG" w:eastAsia="en-US"/>
        </w:rPr>
        <w:t>no</w:t>
      </w:r>
      <w:proofErr w:type="spellEnd"/>
      <w:r w:rsidRPr="00006A07">
        <w:rPr>
          <w:lang w:val="bg-BG" w:eastAsia="en-US"/>
        </w:rPr>
        <w:t>. 44306/98, § 56, ECHR 2003</w:t>
      </w:r>
      <w:r w:rsidRPr="00006A07">
        <w:rPr>
          <w:lang w:val="bg-BG" w:eastAsia="en-US"/>
        </w:rPr>
        <w:noBreakHyphen/>
        <w:t>VI;</w:t>
      </w:r>
      <w:r w:rsidRPr="00006A07">
        <w:rPr>
          <w:i/>
          <w:iCs/>
          <w:lang w:val="bg-BG" w:eastAsia="en-US"/>
        </w:rPr>
        <w:t xml:space="preserve"> </w:t>
      </w:r>
      <w:proofErr w:type="spellStart"/>
      <w:r w:rsidRPr="00006A07">
        <w:rPr>
          <w:i/>
          <w:iCs/>
          <w:lang w:val="bg-BG" w:eastAsia="en-US"/>
        </w:rPr>
        <w:t>Iordachi</w:t>
      </w:r>
      <w:proofErr w:type="spellEnd"/>
      <w:r w:rsidRPr="00006A07">
        <w:rPr>
          <w:i/>
          <w:iCs/>
          <w:lang w:val="bg-BG" w:eastAsia="en-US"/>
        </w:rPr>
        <w:t xml:space="preserve"> </w:t>
      </w:r>
      <w:proofErr w:type="spellStart"/>
      <w:r w:rsidRPr="00006A07">
        <w:rPr>
          <w:i/>
          <w:iCs/>
          <w:lang w:val="bg-BG" w:eastAsia="en-US"/>
        </w:rPr>
        <w:t>and</w:t>
      </w:r>
      <w:proofErr w:type="spellEnd"/>
      <w:r w:rsidRPr="00006A07">
        <w:rPr>
          <w:i/>
          <w:iCs/>
          <w:lang w:val="bg-BG" w:eastAsia="en-US"/>
        </w:rPr>
        <w:t xml:space="preserve"> </w:t>
      </w:r>
      <w:proofErr w:type="spellStart"/>
      <w:r w:rsidRPr="00006A07">
        <w:rPr>
          <w:i/>
          <w:iCs/>
          <w:lang w:val="bg-BG" w:eastAsia="en-US"/>
        </w:rPr>
        <w:t>Others</w:t>
      </w:r>
      <w:proofErr w:type="spellEnd"/>
      <w:r w:rsidRPr="00006A07">
        <w:rPr>
          <w:i/>
          <w:iCs/>
          <w:lang w:val="bg-BG" w:eastAsia="en-US"/>
        </w:rPr>
        <w:t xml:space="preserve"> v. </w:t>
      </w:r>
      <w:proofErr w:type="spellStart"/>
      <w:r w:rsidRPr="00006A07">
        <w:rPr>
          <w:i/>
          <w:iCs/>
          <w:lang w:val="bg-BG" w:eastAsia="en-US"/>
        </w:rPr>
        <w:t>Moldova</w:t>
      </w:r>
      <w:proofErr w:type="spellEnd"/>
      <w:r w:rsidRPr="00006A07">
        <w:rPr>
          <w:lang w:val="bg-BG" w:eastAsia="en-US"/>
        </w:rPr>
        <w:t xml:space="preserve">, </w:t>
      </w:r>
      <w:proofErr w:type="spellStart"/>
      <w:r w:rsidRPr="00006A07">
        <w:rPr>
          <w:lang w:val="bg-BG" w:eastAsia="en-US"/>
        </w:rPr>
        <w:t>no</w:t>
      </w:r>
      <w:proofErr w:type="spellEnd"/>
      <w:r w:rsidRPr="00006A07">
        <w:rPr>
          <w:lang w:val="bg-BG" w:eastAsia="en-US"/>
        </w:rPr>
        <w:t xml:space="preserve">. 25198/02, § 56, 10 февруари 2009 г.; и </w:t>
      </w:r>
      <w:r w:rsidRPr="00006A07">
        <w:rPr>
          <w:i/>
          <w:iCs/>
          <w:lang w:val="bg-BG" w:eastAsia="en-US"/>
        </w:rPr>
        <w:t xml:space="preserve">V.C. v. </w:t>
      </w:r>
      <w:proofErr w:type="spellStart"/>
      <w:r w:rsidRPr="00006A07">
        <w:rPr>
          <w:i/>
          <w:iCs/>
          <w:lang w:val="bg-BG" w:eastAsia="en-US"/>
        </w:rPr>
        <w:t>Slovakia</w:t>
      </w:r>
      <w:proofErr w:type="spellEnd"/>
      <w:r w:rsidRPr="00006A07">
        <w:rPr>
          <w:lang w:val="bg-BG" w:eastAsia="en-US"/>
        </w:rPr>
        <w:t xml:space="preserve">, </w:t>
      </w:r>
      <w:proofErr w:type="spellStart"/>
      <w:r w:rsidRPr="00006A07">
        <w:rPr>
          <w:lang w:val="bg-BG" w:eastAsia="en-US"/>
        </w:rPr>
        <w:t>no</w:t>
      </w:r>
      <w:proofErr w:type="spellEnd"/>
      <w:r w:rsidRPr="00006A07">
        <w:rPr>
          <w:lang w:val="bg-BG" w:eastAsia="en-US"/>
        </w:rPr>
        <w:t>. 18968/07, § 167, 8 ноември 2011 г.).</w:t>
      </w:r>
    </w:p>
    <w:p w:rsidR="0095532B" w:rsidRPr="00006A07" w:rsidRDefault="0095532B" w:rsidP="008D7A78">
      <w:pPr>
        <w:pStyle w:val="JuPara"/>
        <w:rPr>
          <w:lang w:val="bg-BG"/>
        </w:rPr>
      </w:pPr>
      <w:r w:rsidRPr="00006A07">
        <w:rPr>
          <w:lang w:val="bg-BG"/>
        </w:rPr>
        <w:fldChar w:fldCharType="begin"/>
      </w:r>
      <w:r w:rsidRPr="00006A07">
        <w:rPr>
          <w:lang w:val="bg-BG"/>
        </w:rPr>
        <w:instrText xml:space="preserve"> SEQ level0 \*arabic </w:instrText>
      </w:r>
      <w:r w:rsidRPr="00006A07">
        <w:rPr>
          <w:lang w:val="bg-BG"/>
        </w:rPr>
        <w:fldChar w:fldCharType="separate"/>
      </w:r>
      <w:r w:rsidRPr="00006A07">
        <w:rPr>
          <w:noProof/>
          <w:lang w:val="bg-BG"/>
        </w:rPr>
        <w:t>132</w:t>
      </w:r>
      <w:r w:rsidRPr="00006A07">
        <w:rPr>
          <w:lang w:val="bg-BG"/>
        </w:rPr>
        <w:fldChar w:fldCharType="end"/>
      </w:r>
      <w:r w:rsidRPr="00006A07">
        <w:rPr>
          <w:lang w:val="bg-BG"/>
        </w:rPr>
        <w:t>.  Следователно това оплакване е очевидно неоснователно и трябва да бъде отхвърлено в съответствие с член 35 §§ 3 (a) и 4 от Конвенцията.</w:t>
      </w:r>
    </w:p>
    <w:p w:rsidR="0095532B" w:rsidRPr="00006A07" w:rsidRDefault="0095532B" w:rsidP="008D7A78">
      <w:pPr>
        <w:pStyle w:val="JuHHead"/>
        <w:rPr>
          <w:lang w:val="bg-BG"/>
        </w:rPr>
      </w:pPr>
      <w:r w:rsidRPr="00006A07">
        <w:rPr>
          <w:lang w:val="bg-BG"/>
        </w:rPr>
        <w:t>КАТО ВЗЕ ПРЕДВИД ГОРЕПОСОЧЕНИТЕ СЪОБРАЖЕНИЯ, СЪДЪТ</w:t>
      </w:r>
    </w:p>
    <w:p w:rsidR="0095532B" w:rsidRPr="00006A07" w:rsidRDefault="0095532B" w:rsidP="008D7A78">
      <w:pPr>
        <w:pStyle w:val="JuList"/>
        <w:keepLines/>
        <w:rPr>
          <w:lang w:val="bg-BG"/>
        </w:rPr>
      </w:pPr>
      <w:r w:rsidRPr="00006A07">
        <w:rPr>
          <w:lang w:val="bg-BG"/>
        </w:rPr>
        <w:t>1.  </w:t>
      </w:r>
      <w:r w:rsidRPr="00006A07">
        <w:rPr>
          <w:i/>
          <w:iCs/>
          <w:lang w:val="bg-BG"/>
        </w:rPr>
        <w:t>Обявява</w:t>
      </w:r>
      <w:r w:rsidRPr="00006A07">
        <w:rPr>
          <w:lang w:val="bg-BG"/>
        </w:rPr>
        <w:t xml:space="preserve"> единодушно оплакванията по отношение на отказа на властите да разреши на жалбоподателите употребата на експерименталния продукт, който те са искали да им бъде приложен, за допустими, а останалата част от жалбите – за недопустима;</w:t>
      </w:r>
    </w:p>
    <w:p w:rsidR="0095532B" w:rsidRPr="00006A07" w:rsidRDefault="0095532B" w:rsidP="008D7A78">
      <w:pPr>
        <w:pStyle w:val="JuList"/>
        <w:rPr>
          <w:lang w:val="bg-BG"/>
        </w:rPr>
      </w:pPr>
    </w:p>
    <w:p w:rsidR="0095532B" w:rsidRPr="00006A07" w:rsidRDefault="0095532B" w:rsidP="008D7A78">
      <w:pPr>
        <w:pStyle w:val="JuList"/>
        <w:rPr>
          <w:lang w:val="bg-BG"/>
        </w:rPr>
      </w:pPr>
      <w:r w:rsidRPr="00006A07">
        <w:rPr>
          <w:lang w:val="bg-BG"/>
        </w:rPr>
        <w:t>2.  </w:t>
      </w:r>
      <w:r w:rsidRPr="00006A07">
        <w:rPr>
          <w:i/>
          <w:iCs/>
          <w:lang w:val="bg-BG"/>
        </w:rPr>
        <w:t>Решава</w:t>
      </w:r>
      <w:r w:rsidRPr="00006A07">
        <w:rPr>
          <w:lang w:val="bg-BG"/>
        </w:rPr>
        <w:t xml:space="preserve"> с пет срещу два гласа, че не е налице нарушение на член 2 от Конвенцията;</w:t>
      </w:r>
    </w:p>
    <w:p w:rsidR="0095532B" w:rsidRPr="00006A07" w:rsidRDefault="0095532B" w:rsidP="008D7A78">
      <w:pPr>
        <w:pStyle w:val="JuList"/>
        <w:rPr>
          <w:lang w:val="bg-BG"/>
        </w:rPr>
      </w:pPr>
    </w:p>
    <w:p w:rsidR="0095532B" w:rsidRPr="00006A07" w:rsidRDefault="0095532B" w:rsidP="008D7A78">
      <w:pPr>
        <w:pStyle w:val="JuList"/>
        <w:rPr>
          <w:lang w:val="bg-BG"/>
        </w:rPr>
      </w:pPr>
      <w:r w:rsidRPr="00006A07">
        <w:rPr>
          <w:lang w:val="bg-BG"/>
        </w:rPr>
        <w:t>3.  </w:t>
      </w:r>
      <w:r w:rsidRPr="00006A07">
        <w:rPr>
          <w:i/>
          <w:iCs/>
          <w:lang w:val="bg-BG"/>
        </w:rPr>
        <w:t>Решава</w:t>
      </w:r>
      <w:r w:rsidRPr="00006A07">
        <w:rPr>
          <w:lang w:val="bg-BG"/>
        </w:rPr>
        <w:t xml:space="preserve"> с пет срещу два гласа, че не е налице нарушение на член 3 от Конвенцията;</w:t>
      </w:r>
    </w:p>
    <w:p w:rsidR="0095532B" w:rsidRPr="00006A07" w:rsidRDefault="0095532B" w:rsidP="008D7A78">
      <w:pPr>
        <w:pStyle w:val="JuList"/>
        <w:rPr>
          <w:lang w:val="bg-BG"/>
        </w:rPr>
      </w:pPr>
    </w:p>
    <w:p w:rsidR="0095532B" w:rsidRPr="00006A07" w:rsidRDefault="0095532B" w:rsidP="008D7A78">
      <w:pPr>
        <w:pStyle w:val="JuList"/>
        <w:rPr>
          <w:lang w:val="bg-BG"/>
        </w:rPr>
      </w:pPr>
      <w:r w:rsidRPr="00006A07">
        <w:rPr>
          <w:lang w:val="bg-BG"/>
        </w:rPr>
        <w:t>4.  </w:t>
      </w:r>
      <w:r w:rsidRPr="00006A07">
        <w:rPr>
          <w:i/>
          <w:iCs/>
          <w:lang w:val="bg-BG"/>
        </w:rPr>
        <w:t>Решава</w:t>
      </w:r>
      <w:r w:rsidRPr="00006A07">
        <w:rPr>
          <w:lang w:val="bg-BG"/>
        </w:rPr>
        <w:t xml:space="preserve"> с четири срещу три гласа, че не е налице нарушение на член 8 от Конвенцията.</w:t>
      </w:r>
    </w:p>
    <w:p w:rsidR="0095532B" w:rsidRPr="00006A07" w:rsidRDefault="0095532B" w:rsidP="008D7A78">
      <w:pPr>
        <w:pStyle w:val="JuParaLast"/>
        <w:rPr>
          <w:lang w:val="bg-BG"/>
        </w:rPr>
      </w:pPr>
      <w:r w:rsidRPr="00006A07">
        <w:rPr>
          <w:lang w:val="bg-BG"/>
        </w:rPr>
        <w:t>Изготвено на английски език и съобщено писмено на 13 ноември 2012 г., в съответствие с член 77 §§ 2 и 3 от Правилника на Съда.</w:t>
      </w:r>
    </w:p>
    <w:p w:rsidR="0095532B" w:rsidRPr="00006A07" w:rsidRDefault="0095532B" w:rsidP="008D7A78">
      <w:pPr>
        <w:pStyle w:val="JuSigned"/>
        <w:keepNext/>
        <w:keepLines/>
        <w:rPr>
          <w:lang w:val="bg-BG"/>
        </w:rPr>
      </w:pPr>
      <w:r w:rsidRPr="00006A07">
        <w:rPr>
          <w:lang w:val="bg-BG"/>
        </w:rPr>
        <w:tab/>
      </w:r>
      <w:proofErr w:type="spellStart"/>
      <w:r w:rsidRPr="00006A07">
        <w:rPr>
          <w:lang w:val="bg-BG"/>
        </w:rPr>
        <w:t>Лоурънс</w:t>
      </w:r>
      <w:proofErr w:type="spellEnd"/>
      <w:r w:rsidRPr="00006A07">
        <w:rPr>
          <w:lang w:val="bg-BG"/>
        </w:rPr>
        <w:t xml:space="preserve"> </w:t>
      </w:r>
      <w:proofErr w:type="spellStart"/>
      <w:r w:rsidRPr="00006A07">
        <w:rPr>
          <w:lang w:val="bg-BG"/>
        </w:rPr>
        <w:t>Ърли</w:t>
      </w:r>
      <w:proofErr w:type="spellEnd"/>
      <w:r w:rsidRPr="00006A07">
        <w:rPr>
          <w:lang w:val="bg-BG"/>
        </w:rPr>
        <w:tab/>
        <w:t xml:space="preserve">Лех </w:t>
      </w:r>
      <w:proofErr w:type="spellStart"/>
      <w:r w:rsidRPr="00006A07">
        <w:rPr>
          <w:lang w:val="bg-BG"/>
        </w:rPr>
        <w:t>Гарлицки</w:t>
      </w:r>
      <w:proofErr w:type="spellEnd"/>
      <w:r w:rsidRPr="00006A07">
        <w:rPr>
          <w:lang w:val="bg-BG"/>
        </w:rPr>
        <w:t xml:space="preserve"> </w:t>
      </w:r>
      <w:r w:rsidRPr="00006A07">
        <w:rPr>
          <w:lang w:val="bg-BG"/>
        </w:rPr>
        <w:br/>
      </w:r>
      <w:r w:rsidRPr="00006A07">
        <w:rPr>
          <w:lang w:val="bg-BG"/>
        </w:rPr>
        <w:tab/>
      </w:r>
      <w:r w:rsidRPr="00006A07">
        <w:rPr>
          <w:iCs/>
          <w:lang w:val="bg-BG"/>
        </w:rPr>
        <w:t>Секретар на отделението</w:t>
      </w:r>
      <w:r w:rsidRPr="00006A07">
        <w:rPr>
          <w:lang w:val="bg-BG"/>
        </w:rPr>
        <w:tab/>
        <w:t>Председател</w:t>
      </w:r>
    </w:p>
    <w:p w:rsidR="0095532B" w:rsidRPr="00006A07" w:rsidRDefault="0095532B" w:rsidP="008D7A78">
      <w:pPr>
        <w:pStyle w:val="JuJudges"/>
        <w:rPr>
          <w:lang w:val="bg-BG"/>
        </w:rPr>
      </w:pPr>
      <w:r w:rsidRPr="00006A07">
        <w:rPr>
          <w:lang w:val="bg-BG"/>
        </w:rPr>
        <w:br/>
      </w:r>
      <w:r w:rsidRPr="00006A07">
        <w:rPr>
          <w:lang w:val="bg-BG"/>
        </w:rPr>
        <w:tab/>
      </w:r>
    </w:p>
    <w:p w:rsidR="0095532B" w:rsidRPr="00006A07" w:rsidRDefault="0095532B" w:rsidP="008D7A78">
      <w:pPr>
        <w:pStyle w:val="JuParaLast"/>
        <w:rPr>
          <w:lang w:val="bg-BG"/>
        </w:rPr>
      </w:pPr>
      <w:r w:rsidRPr="00006A07">
        <w:rPr>
          <w:lang w:val="bg-BG"/>
        </w:rPr>
        <w:lastRenderedPageBreak/>
        <w:t>В съответствие с член 45 § 2 от Конвенцията и член 74 § 2 от Правилника на Съда, следните отделни становища са приложени към настоящото решение:</w:t>
      </w:r>
    </w:p>
    <w:p w:rsidR="0095532B" w:rsidRPr="00006A07" w:rsidRDefault="0095532B" w:rsidP="008D7A78">
      <w:pPr>
        <w:pStyle w:val="JuPara"/>
        <w:rPr>
          <w:lang w:val="bg-BG"/>
        </w:rPr>
      </w:pPr>
      <w:r w:rsidRPr="00006A07">
        <w:rPr>
          <w:lang w:val="bg-BG"/>
        </w:rPr>
        <w:t>a)  Частично особено мнение на съдия Калайджиева;</w:t>
      </w:r>
    </w:p>
    <w:p w:rsidR="0095532B" w:rsidRPr="00006A07" w:rsidRDefault="0095532B" w:rsidP="008D7A78">
      <w:pPr>
        <w:pStyle w:val="JuPara"/>
        <w:rPr>
          <w:lang w:val="bg-BG"/>
        </w:rPr>
      </w:pPr>
      <w:r w:rsidRPr="00006A07">
        <w:rPr>
          <w:lang w:val="bg-BG"/>
        </w:rPr>
        <w:t xml:space="preserve">б)  Особено мнение на съдия Де </w:t>
      </w:r>
      <w:proofErr w:type="spellStart"/>
      <w:r w:rsidRPr="00006A07">
        <w:rPr>
          <w:lang w:val="bg-BG"/>
        </w:rPr>
        <w:t>Гаетано</w:t>
      </w:r>
      <w:proofErr w:type="spellEnd"/>
      <w:r w:rsidRPr="00006A07">
        <w:rPr>
          <w:lang w:val="bg-BG"/>
        </w:rPr>
        <w:t xml:space="preserve">, към което се присъединява съдия </w:t>
      </w:r>
      <w:proofErr w:type="spellStart"/>
      <w:r w:rsidRPr="00006A07">
        <w:rPr>
          <w:lang w:val="bg-BG"/>
        </w:rPr>
        <w:t>Вучинич</w:t>
      </w:r>
      <w:proofErr w:type="spellEnd"/>
    </w:p>
    <w:p w:rsidR="0095532B" w:rsidRPr="00006A07" w:rsidRDefault="0095532B" w:rsidP="008D7A78">
      <w:pPr>
        <w:pStyle w:val="JuPara"/>
        <w:jc w:val="right"/>
        <w:rPr>
          <w:lang w:val="bg-BG"/>
        </w:rPr>
      </w:pPr>
      <w:r w:rsidRPr="00006A07">
        <w:rPr>
          <w:rStyle w:val="JuJudgesChar"/>
          <w:i/>
          <w:iCs/>
          <w:lang w:val="bg-BG"/>
        </w:rPr>
        <w:br/>
      </w:r>
      <w:r w:rsidRPr="00006A07">
        <w:rPr>
          <w:rStyle w:val="JuJudgesChar"/>
          <w:lang w:val="bg-BG"/>
        </w:rPr>
        <w:tab/>
      </w:r>
      <w:r w:rsidRPr="00006A07">
        <w:rPr>
          <w:lang w:val="bg-BG"/>
        </w:rPr>
        <w:t>L.G.</w:t>
      </w:r>
      <w:r w:rsidRPr="00006A07">
        <w:rPr>
          <w:lang w:val="bg-BG"/>
        </w:rPr>
        <w:br/>
        <w:t>T.L.E.</w:t>
      </w:r>
    </w:p>
    <w:p w:rsidR="0095532B" w:rsidRPr="00006A07" w:rsidRDefault="0095532B" w:rsidP="008D7A78">
      <w:pPr>
        <w:pStyle w:val="OpiHHead"/>
        <w:rPr>
          <w:lang w:val="bg-BG"/>
        </w:rPr>
        <w:sectPr w:rsidR="0095532B" w:rsidRPr="00006A07" w:rsidSect="00572B32">
          <w:headerReference w:type="even" r:id="rId14"/>
          <w:headerReference w:type="default" r:id="rId15"/>
          <w:footerReference w:type="even" r:id="rId16"/>
          <w:footerReference w:type="default" r:id="rId17"/>
          <w:footnotePr>
            <w:numRestart w:val="eachPage"/>
          </w:footnotePr>
          <w:type w:val="continuous"/>
          <w:pgSz w:w="11906" w:h="16838" w:code="9"/>
          <w:pgMar w:top="2274" w:right="2274" w:bottom="2274" w:left="2274" w:header="1701" w:footer="708" w:gutter="0"/>
          <w:pgNumType w:start="1"/>
          <w:cols w:space="708"/>
          <w:docGrid w:linePitch="326"/>
        </w:sectPr>
      </w:pPr>
    </w:p>
    <w:p w:rsidR="0095532B" w:rsidRPr="00006A07" w:rsidRDefault="0095532B" w:rsidP="008D7A78">
      <w:pPr>
        <w:pStyle w:val="OpiHHead"/>
        <w:rPr>
          <w:lang w:val="bg-BG"/>
        </w:rPr>
      </w:pPr>
      <w:r w:rsidRPr="00006A07">
        <w:rPr>
          <w:lang w:val="bg-BG"/>
        </w:rPr>
        <w:lastRenderedPageBreak/>
        <w:t>ЧАСТИЧНО ОСОБЕНО МНЕНИЕ НА СЪДИЯ КАЛАЙДЖИЕВА</w:t>
      </w:r>
    </w:p>
    <w:p w:rsidR="0095532B" w:rsidRPr="00006A07" w:rsidRDefault="0095532B" w:rsidP="008D7A78">
      <w:pPr>
        <w:pStyle w:val="OpiPara"/>
        <w:rPr>
          <w:lang w:val="bg-BG"/>
        </w:rPr>
      </w:pPr>
      <w:r w:rsidRPr="00006A07">
        <w:rPr>
          <w:lang w:val="bg-BG"/>
        </w:rPr>
        <w:t xml:space="preserve">Настоящото дело повдига важни въпроси относно тълкуването на легитимните цели, преследвани от държавната регулация на услугите по здравеопазване и фармацевтичните услуги и нейните ограничения по Конвенцията. Съжалявам, че не мога да се присъединя към противоположните заключения на моите </w:t>
      </w:r>
      <w:proofErr w:type="spellStart"/>
      <w:r w:rsidRPr="00006A07">
        <w:rPr>
          <w:lang w:val="bg-BG"/>
        </w:rPr>
        <w:t>висококомпетентни</w:t>
      </w:r>
      <w:proofErr w:type="spellEnd"/>
      <w:r w:rsidRPr="00006A07">
        <w:rPr>
          <w:lang w:val="bg-BG"/>
        </w:rPr>
        <w:t xml:space="preserve"> колеги относно принципите, на които се подчинява тази важна сфера.</w:t>
      </w:r>
    </w:p>
    <w:p w:rsidR="0095532B" w:rsidRPr="00006A07" w:rsidRDefault="0095532B" w:rsidP="008D7A78">
      <w:pPr>
        <w:pStyle w:val="OpiPara"/>
        <w:rPr>
          <w:lang w:val="bg-BG"/>
        </w:rPr>
      </w:pPr>
      <w:r w:rsidRPr="00006A07">
        <w:rPr>
          <w:lang w:val="bg-BG"/>
        </w:rPr>
        <w:t xml:space="preserve">Не съм убедена, че сравнението между положението на жалбоподателите и положението по делата </w:t>
      </w:r>
      <w:proofErr w:type="spellStart"/>
      <w:r w:rsidRPr="00006A07">
        <w:rPr>
          <w:i/>
          <w:iCs/>
          <w:lang w:val="bg-BG"/>
        </w:rPr>
        <w:t>Pretty</w:t>
      </w:r>
      <w:proofErr w:type="spellEnd"/>
      <w:r w:rsidRPr="00006A07">
        <w:rPr>
          <w:i/>
          <w:iCs/>
          <w:lang w:val="bg-BG"/>
        </w:rPr>
        <w:t xml:space="preserve"> v. </w:t>
      </w:r>
      <w:proofErr w:type="spellStart"/>
      <w:r w:rsidRPr="00006A07">
        <w:rPr>
          <w:i/>
          <w:iCs/>
          <w:lang w:val="bg-BG"/>
        </w:rPr>
        <w:t>the</w:t>
      </w:r>
      <w:proofErr w:type="spellEnd"/>
      <w:r w:rsidRPr="00006A07">
        <w:rPr>
          <w:i/>
          <w:iCs/>
          <w:lang w:val="bg-BG"/>
        </w:rPr>
        <w:t xml:space="preserve"> </w:t>
      </w:r>
      <w:proofErr w:type="spellStart"/>
      <w:r w:rsidRPr="00006A07">
        <w:rPr>
          <w:i/>
          <w:iCs/>
          <w:lang w:val="bg-BG"/>
        </w:rPr>
        <w:t>United</w:t>
      </w:r>
      <w:proofErr w:type="spellEnd"/>
      <w:r w:rsidRPr="00006A07">
        <w:rPr>
          <w:i/>
          <w:iCs/>
          <w:lang w:val="bg-BG"/>
        </w:rPr>
        <w:t xml:space="preserve"> </w:t>
      </w:r>
      <w:proofErr w:type="spellStart"/>
      <w:r w:rsidRPr="00006A07">
        <w:rPr>
          <w:i/>
          <w:iCs/>
          <w:lang w:val="bg-BG"/>
        </w:rPr>
        <w:t>Kingdom</w:t>
      </w:r>
      <w:proofErr w:type="spellEnd"/>
      <w:r w:rsidRPr="00006A07">
        <w:rPr>
          <w:lang w:val="bg-BG"/>
        </w:rPr>
        <w:t xml:space="preserve"> (</w:t>
      </w:r>
      <w:proofErr w:type="spellStart"/>
      <w:r w:rsidRPr="00006A07">
        <w:rPr>
          <w:lang w:val="bg-BG"/>
        </w:rPr>
        <w:t>no</w:t>
      </w:r>
      <w:proofErr w:type="spellEnd"/>
      <w:r w:rsidRPr="00006A07">
        <w:rPr>
          <w:lang w:val="bg-BG"/>
        </w:rPr>
        <w:t>. 2346/02, ECHR 2002</w:t>
      </w:r>
      <w:r w:rsidRPr="00006A07">
        <w:rPr>
          <w:lang w:val="bg-BG"/>
        </w:rPr>
        <w:noBreakHyphen/>
        <w:t>III</w:t>
      </w:r>
      <w:r w:rsidRPr="00006A07">
        <w:rPr>
          <w:snapToGrid w:val="0"/>
          <w:lang w:val="bg-BG" w:eastAsia="en-US"/>
        </w:rPr>
        <w:t>)</w:t>
      </w:r>
      <w:r w:rsidRPr="00006A07">
        <w:rPr>
          <w:lang w:val="bg-BG"/>
        </w:rPr>
        <w:t xml:space="preserve">, </w:t>
      </w:r>
      <w:proofErr w:type="spellStart"/>
      <w:r w:rsidRPr="00006A07">
        <w:rPr>
          <w:i/>
          <w:iCs/>
          <w:lang w:val="bg-BG" w:eastAsia="en-US"/>
        </w:rPr>
        <w:t>Evans</w:t>
      </w:r>
      <w:proofErr w:type="spellEnd"/>
      <w:r w:rsidRPr="00006A07">
        <w:rPr>
          <w:i/>
          <w:iCs/>
          <w:lang w:val="bg-BG" w:eastAsia="en-US"/>
        </w:rPr>
        <w:t xml:space="preserve"> v. </w:t>
      </w:r>
      <w:proofErr w:type="spellStart"/>
      <w:r w:rsidRPr="00006A07">
        <w:rPr>
          <w:i/>
          <w:iCs/>
          <w:lang w:val="bg-BG" w:eastAsia="en-US"/>
        </w:rPr>
        <w:t>the</w:t>
      </w:r>
      <w:proofErr w:type="spellEnd"/>
      <w:r w:rsidRPr="00006A07">
        <w:rPr>
          <w:i/>
          <w:iCs/>
          <w:lang w:val="bg-BG" w:eastAsia="en-US"/>
        </w:rPr>
        <w:t xml:space="preserve"> </w:t>
      </w:r>
      <w:proofErr w:type="spellStart"/>
      <w:r w:rsidRPr="00006A07">
        <w:rPr>
          <w:i/>
          <w:iCs/>
          <w:lang w:val="bg-BG" w:eastAsia="en-US"/>
        </w:rPr>
        <w:t>United</w:t>
      </w:r>
      <w:proofErr w:type="spellEnd"/>
      <w:r w:rsidRPr="00006A07">
        <w:rPr>
          <w:i/>
          <w:iCs/>
          <w:lang w:val="bg-BG" w:eastAsia="en-US"/>
        </w:rPr>
        <w:t xml:space="preserve"> </w:t>
      </w:r>
      <w:proofErr w:type="spellStart"/>
      <w:r w:rsidRPr="00006A07">
        <w:rPr>
          <w:i/>
          <w:iCs/>
          <w:lang w:val="bg-BG" w:eastAsia="en-US"/>
        </w:rPr>
        <w:t>Kingdom</w:t>
      </w:r>
      <w:proofErr w:type="spellEnd"/>
      <w:r w:rsidRPr="00006A07">
        <w:rPr>
          <w:lang w:val="bg-BG" w:eastAsia="en-US"/>
        </w:rPr>
        <w:t xml:space="preserve"> ([GC], </w:t>
      </w:r>
      <w:proofErr w:type="spellStart"/>
      <w:r w:rsidRPr="00006A07">
        <w:rPr>
          <w:lang w:val="bg-BG" w:eastAsia="en-US"/>
        </w:rPr>
        <w:t>no</w:t>
      </w:r>
      <w:proofErr w:type="spellEnd"/>
      <w:r w:rsidRPr="00006A07">
        <w:rPr>
          <w:lang w:val="bg-BG" w:eastAsia="en-US"/>
        </w:rPr>
        <w:t>. 6339/05, ECHR 2007</w:t>
      </w:r>
      <w:r w:rsidRPr="00006A07">
        <w:rPr>
          <w:lang w:val="bg-BG" w:eastAsia="en-US"/>
        </w:rPr>
        <w:noBreakHyphen/>
        <w:t>I)</w:t>
      </w:r>
      <w:r w:rsidRPr="00006A07">
        <w:rPr>
          <w:lang w:val="bg-BG"/>
        </w:rPr>
        <w:t xml:space="preserve"> и </w:t>
      </w:r>
      <w:r w:rsidRPr="00006A07">
        <w:rPr>
          <w:i/>
          <w:iCs/>
          <w:lang w:val="bg-BG" w:eastAsia="en-US"/>
        </w:rPr>
        <w:t xml:space="preserve">S.H. </w:t>
      </w:r>
      <w:proofErr w:type="spellStart"/>
      <w:r w:rsidRPr="00006A07">
        <w:rPr>
          <w:i/>
          <w:iCs/>
          <w:lang w:val="bg-BG" w:eastAsia="en-US"/>
        </w:rPr>
        <w:t>and</w:t>
      </w:r>
      <w:proofErr w:type="spellEnd"/>
      <w:r w:rsidRPr="00006A07">
        <w:rPr>
          <w:i/>
          <w:iCs/>
          <w:lang w:val="bg-BG" w:eastAsia="en-US"/>
        </w:rPr>
        <w:t xml:space="preserve"> </w:t>
      </w:r>
      <w:proofErr w:type="spellStart"/>
      <w:r w:rsidRPr="00006A07">
        <w:rPr>
          <w:i/>
          <w:iCs/>
          <w:lang w:val="bg-BG" w:eastAsia="en-US"/>
        </w:rPr>
        <w:t>Others</w:t>
      </w:r>
      <w:proofErr w:type="spellEnd"/>
      <w:r w:rsidRPr="00006A07">
        <w:rPr>
          <w:i/>
          <w:iCs/>
          <w:lang w:val="bg-BG" w:eastAsia="en-US"/>
        </w:rPr>
        <w:t xml:space="preserve"> v. </w:t>
      </w:r>
      <w:proofErr w:type="spellStart"/>
      <w:r w:rsidRPr="00006A07">
        <w:rPr>
          <w:i/>
          <w:iCs/>
          <w:lang w:val="bg-BG" w:eastAsia="en-US"/>
        </w:rPr>
        <w:t>Austria</w:t>
      </w:r>
      <w:proofErr w:type="spellEnd"/>
      <w:r w:rsidRPr="00006A07">
        <w:rPr>
          <w:i/>
          <w:iCs/>
          <w:lang w:val="bg-BG" w:eastAsia="en-US"/>
        </w:rPr>
        <w:t xml:space="preserve"> </w:t>
      </w:r>
      <w:r w:rsidRPr="00006A07">
        <w:rPr>
          <w:lang w:val="bg-BG" w:eastAsia="en-US"/>
        </w:rPr>
        <w:t xml:space="preserve">([GC], </w:t>
      </w:r>
      <w:proofErr w:type="spellStart"/>
      <w:r w:rsidRPr="00006A07">
        <w:rPr>
          <w:lang w:val="bg-BG" w:eastAsia="en-US"/>
        </w:rPr>
        <w:t>no</w:t>
      </w:r>
      <w:proofErr w:type="spellEnd"/>
      <w:r w:rsidRPr="00006A07">
        <w:rPr>
          <w:lang w:val="bg-BG" w:eastAsia="en-US"/>
        </w:rPr>
        <w:t>. 57813/00, ECHR 2011 г.</w:t>
      </w:r>
      <w:r w:rsidRPr="00006A07">
        <w:rPr>
          <w:lang w:val="bg-BG" w:eastAsia="en-US"/>
        </w:rPr>
        <w:noBreakHyphen/>
        <w:t>...</w:t>
      </w:r>
      <w:r w:rsidRPr="00006A07">
        <w:rPr>
          <w:snapToGrid w:val="0"/>
          <w:lang w:val="bg-BG" w:eastAsia="en-US"/>
        </w:rPr>
        <w:t>)</w:t>
      </w:r>
      <w:r w:rsidRPr="00006A07">
        <w:rPr>
          <w:lang w:val="bg-BG"/>
        </w:rPr>
        <w:t xml:space="preserve"> е подходящо за целите на анализа на обстоятелствата по настоящото дело. Жалбоподателите по горепосочените три дела са опитвали да осигурят повишен позитивен ангажимент от страна на държавните власти – включително приемането на ново законодателство – с които да се улесни упражняването на правото им на личен живот. В техните случаи този ангажимент неизбежно е създавал риск от конфликти с потенциално конкурентни или вече защитени индивидуални права или обществени интереси. За разлика от тях, за жалбоподателите по настоящото дело не може да се каже, че са искали установяването на някакви допълнителни позитивни задължения за държавните власти извън тези, които вече са уредени в контекста на регулаторните функции на Държавата. Освен това е под въпрос дали упражняването на тези функции при настоящия случай е създавало риск от какъвто и да било конфликт с общественото благосъстояние или с които и да било други права или интереси – както мнозинството очевидно е предположило за случая (вж. по-долу).</w:t>
      </w:r>
    </w:p>
    <w:p w:rsidR="0095532B" w:rsidRPr="00006A07" w:rsidRDefault="0095532B" w:rsidP="008D7A78">
      <w:pPr>
        <w:pStyle w:val="OpiPara"/>
        <w:rPr>
          <w:lang w:val="bg-BG"/>
        </w:rPr>
      </w:pPr>
      <w:r w:rsidRPr="00006A07">
        <w:rPr>
          <w:lang w:val="bg-BG"/>
        </w:rPr>
        <w:t>Изглежда подходящо да се спомене, че положението на жалбоподателите не е непременно различно от това на който и да било друг пациент, засегнат от заболяване, което, за съжаление, е нелечимо със стандартните продукти, налични на пазара. Като се има предвид, че в продължение на векове хуманната медицина се е занимавала с лечението на отделните пациенти на отговорност на лекарите, държавните органи са поели ангажимента да споделят тази отговорност чрез стриктна уредба едва преди около петдесет години. В това отношение констатацията, че „</w:t>
      </w:r>
      <w:r w:rsidRPr="00006A07">
        <w:rPr>
          <w:lang w:val="bg-BG" w:eastAsia="en-US"/>
        </w:rPr>
        <w:t>в момента има ясна тенденция в Договарящите държави в посока на разрешаването при определени изключителни условия на използването на неразрешени за употреба лекарствени продукти</w:t>
      </w:r>
      <w:r w:rsidRPr="00006A07">
        <w:rPr>
          <w:lang w:val="bg-BG"/>
        </w:rPr>
        <w:t xml:space="preserve">“ (вж. параграф 123 от решението) не изглежда да отразява точно историческото развитие на медицинските и фармацевтичните услуги. Наред с това, заключението, че </w:t>
      </w:r>
      <w:r w:rsidRPr="00006A07">
        <w:rPr>
          <w:lang w:val="bg-BG"/>
        </w:rPr>
        <w:lastRenderedPageBreak/>
        <w:t>„[</w:t>
      </w:r>
      <w:r w:rsidRPr="00006A07">
        <w:rPr>
          <w:lang w:val="bg-BG" w:eastAsia="en-US"/>
        </w:rPr>
        <w:t>регулирането</w:t>
      </w:r>
      <w:r w:rsidRPr="00006A07">
        <w:rPr>
          <w:lang w:val="bg-BG"/>
        </w:rPr>
        <w:t>]</w:t>
      </w:r>
      <w:r w:rsidRPr="00006A07">
        <w:rPr>
          <w:lang w:val="bg-BG" w:eastAsia="en-US"/>
        </w:rPr>
        <w:t xml:space="preserve"> на </w:t>
      </w:r>
      <w:r w:rsidRPr="00006A07">
        <w:rPr>
          <w:lang w:val="bg-BG"/>
        </w:rPr>
        <w:t xml:space="preserve">[тези] </w:t>
      </w:r>
      <w:r w:rsidRPr="00006A07">
        <w:rPr>
          <w:lang w:val="bg-BG" w:eastAsia="en-US"/>
        </w:rPr>
        <w:t xml:space="preserve">важни аспекти от личния живот без да се създават разпоредби за уравновесяването на конкуриращите се интереси при обстоятелствата на всеки отделен случай, не противоречи на </w:t>
      </w:r>
      <w:r w:rsidRPr="00006A07">
        <w:rPr>
          <w:lang w:val="bg-BG"/>
        </w:rPr>
        <w:t>изискванията [на член 8]“ (вж. параграф 126 от решението), изглежда неподходящо за бъдещото развитие на наскоро предприетите действия за гарантиране на безопасен напредък, тъй като „наклонява баланса между потенциалните терапевтични ползи и избягването на медицинския риск решително в полза на“ статуквото.</w:t>
      </w:r>
    </w:p>
    <w:p w:rsidR="0095532B" w:rsidRPr="00006A07" w:rsidRDefault="0095532B" w:rsidP="008D7A78">
      <w:pPr>
        <w:pStyle w:val="OpiPara"/>
        <w:rPr>
          <w:lang w:val="bg-BG"/>
        </w:rPr>
      </w:pPr>
      <w:r w:rsidRPr="00006A07">
        <w:rPr>
          <w:lang w:val="bg-BG"/>
        </w:rPr>
        <w:t>Действително, не може да се постигне подходящо определение на принципите, на които се подчиняват регулаторните функции на Държавата в хуманната медицина, като се използва предпазният клапан на „широката свобода на преценка“, преди да се анализират обхватът и целите на позитивните задължения, поети за осигуряването на безопасен напредък в тази сфера, и степента, в която действието на установените механизми е отговорило на тези задължения. Тези въпроси засягат съвместимостта на оспорените откази с легитимните цели, преследвани с държавната регулация на медицинските и фармацевтичните услуги, и аз съжалявам за това, че Съдът не е разгледал въпроса относно законосъобразността, преди да се обърне към доктрината за свободата на преценка – инструмент, въведен от същия този Съд, който да улесни оценката на необходимостта и съразмерността на намесите в свободното упражняване на правата и свободите, гарантирани от Конвенцията, а не като общ отказ от задължението на Държавите да ги зачитат съгласно изискванията на член 1 от Конвенцията.</w:t>
      </w:r>
    </w:p>
    <w:p w:rsidR="0095532B" w:rsidRPr="00006A07" w:rsidRDefault="0095532B" w:rsidP="008D7A78">
      <w:pPr>
        <w:pStyle w:val="OpiPara"/>
        <w:rPr>
          <w:lang w:val="bg-BG"/>
        </w:rPr>
      </w:pPr>
      <w:r w:rsidRPr="00006A07">
        <w:rPr>
          <w:lang w:val="bg-BG"/>
        </w:rPr>
        <w:t>Мотивите на мнозинството оставят впечатлението, че за първи път словосъчетанието „свобода на преценката“ е било тълкувано не в смисъла на преценка и оценка на основанията, а като инструмент да се оправдае пълният провал на националните власти да покажат каквото и да било признание на правото на личен живот на жалбоподателите или да установят необходимия баланс между това право и предполагаемите противостоящи обществени интереси. Отделен въпрос е дали  интересите на индивидуални пациенти и тези на обществото за осигуряване на безопасен напредък в усъвършенстването на медицинските и фармацевтичните услуги могат действително да бъдат разглеждани като конкуриращи се (вж. параграф 117 от решението), или като създаващи потенциален конфликт (вж. параграф 125 от решението). Аз не виждам какъвто и да било конфликт между обществения и индивидуалния интерес в осигуряването на безопасния напредък на медицинското лечение. Във всички случаи съществуването на такъв конфликт в настоящия случай не е нито демонстрирано, нито се твърди.</w:t>
      </w:r>
    </w:p>
    <w:p w:rsidR="0095532B" w:rsidRPr="00006A07" w:rsidRDefault="0095532B" w:rsidP="008D7A78">
      <w:pPr>
        <w:pStyle w:val="OpiPara"/>
        <w:rPr>
          <w:lang w:val="bg-BG"/>
        </w:rPr>
      </w:pPr>
      <w:r w:rsidRPr="00006A07">
        <w:rPr>
          <w:lang w:val="bg-BG"/>
        </w:rPr>
        <w:t xml:space="preserve">Тази опасна употреба от Съда на собствената му концепция за инструмента „широка свобода на преценка“ може лесно да бъде </w:t>
      </w:r>
      <w:r w:rsidRPr="00006A07">
        <w:rPr>
          <w:lang w:val="bg-BG"/>
        </w:rPr>
        <w:lastRenderedPageBreak/>
        <w:t>изтълкувана като предоставяне на изпълнителните власти на неоправдани правомощия да налагат собствените си решения относно подходящото лечение на който и да било пациент, или относно неоснователното ограничаване на такова лечение до употребата на ограничен, предварително определен списък с продукти – пренебрегвайки еднакво становището на лекарите и личните желания на пациентите. Далече съм от убеждението, че може да се счита, че медицинското лечение на което и да било лице непременно (да не говорим за изключително) попада в обхвата на свободата на преценка на изпълнителните власти. Според моето разбиране, такъв резултат прави упражняването на медицинската професия и концепцията за информираното съгласие (което следва да бъде един аспект от регулаторните функции на държавата) ненужно. Това далеч надхвърля легитимните цели, преследвани с установяването на регулаторни механизми.</w:t>
      </w:r>
    </w:p>
    <w:p w:rsidR="0095532B" w:rsidRPr="00006A07" w:rsidRDefault="0095532B" w:rsidP="008D7A78">
      <w:pPr>
        <w:pStyle w:val="OpiPara"/>
        <w:rPr>
          <w:lang w:val="bg-BG"/>
        </w:rPr>
      </w:pPr>
      <w:r w:rsidRPr="00006A07">
        <w:rPr>
          <w:lang w:val="bg-BG"/>
        </w:rPr>
        <w:t>Вярно е, че националните разпоредби, които регулират положението на жалбоподателите „</w:t>
      </w:r>
      <w:r w:rsidRPr="00006A07">
        <w:rPr>
          <w:lang w:val="bg-BG" w:eastAsia="en-US"/>
        </w:rPr>
        <w:t>не изглежда да са в противоречие със законово правило от по-висок ранг, конституционно правило, или правило от правото на Европейския съюз“</w:t>
      </w:r>
      <w:r w:rsidRPr="00006A07">
        <w:rPr>
          <w:lang w:val="bg-BG"/>
        </w:rPr>
        <w:t xml:space="preserve"> (вж. параграф 88 от решението) при разрешаването на изключения от общото правило, че само разрешени за употреба лекарствени продукти могат да бъдат „произвеждани, внасяни, продавани (...) или използвани за медицинско лечение“ (вж. параграфи 22 </w:t>
      </w:r>
      <w:r w:rsidRPr="00006A07">
        <w:rPr>
          <w:lang w:val="bg-BG"/>
        </w:rPr>
        <w:noBreakHyphen/>
        <w:t xml:space="preserve"> 23 от решението). В това отношение обаче държавните власти имат свободата на преценка при вземането на решение дали да поемат, или не регулаторни функции във връзка с лечението на отдени пациенти (вж. параграфи 45, 49, 50, 51 и 54 </w:t>
      </w:r>
      <w:r w:rsidRPr="00006A07">
        <w:rPr>
          <w:lang w:val="bg-BG"/>
        </w:rPr>
        <w:noBreakHyphen/>
        <w:t xml:space="preserve"> 55). Степента, в която прилагането на вторичното национално законодателство е изпълнило заложеното предназначение на тези функции, е сериозно поставена под въпрос. Остава фактът, че тази уредба не е изисквала какъвто и да било анализ или консултация за целите на контрола върху качеството на искания продукт и тестване на съотношението полза/риск, което обичайно е част от процеса на предоставяне на разрешение за употреба. В това отношение тази уредба е послужила за ограничаване на удовлетворяването на индивидуалните нужди относно „употребата по изключение на неразрешени за употреба продукти“ само до „вече разрешени за употреба“ продукти (вж. параграф 125 от решението), като по този начин обезсмисля характера на „изключение“ на това разрешение. От друга страна, същата уредба освобождава националните власти, „които отговарят за надзора върху качеството, безопасността и ефикасността на лекарствените продукти“ (вж. параграф 14 от решението) от каквото и да било задължение за осъществяване на такъв надзор чрез пренасочване на това задължение към регулаторните органи на други държави, като по този начин прави излишни собствените си функции.</w:t>
      </w:r>
    </w:p>
    <w:p w:rsidR="0095532B" w:rsidRPr="00006A07" w:rsidRDefault="0095532B" w:rsidP="008D7A78">
      <w:pPr>
        <w:pStyle w:val="OpiPara"/>
        <w:rPr>
          <w:lang w:val="bg-BG"/>
        </w:rPr>
      </w:pPr>
      <w:r w:rsidRPr="00006A07">
        <w:rPr>
          <w:lang w:val="bg-BG"/>
        </w:rPr>
        <w:lastRenderedPageBreak/>
        <w:t xml:space="preserve">Фактите по настоящото дело показват, че неизпълнението на функциите по „надзор върху качеството, безопасността и ефикасността на лекарствените продукти“ води автоматично до неоправдани ограничения на медицинското лечение, като се вижда, че „за разлика от ситуацията в други Европейски държави, в България </w:t>
      </w:r>
      <w:proofErr w:type="spellStart"/>
      <w:r w:rsidRPr="00006A07">
        <w:rPr>
          <w:lang w:val="bg-BG"/>
        </w:rPr>
        <w:t>палиативната</w:t>
      </w:r>
      <w:proofErr w:type="spellEnd"/>
      <w:r w:rsidRPr="00006A07">
        <w:rPr>
          <w:lang w:val="bg-BG"/>
        </w:rPr>
        <w:t xml:space="preserve"> употреба на продукти, които все още не са получили разрешение, е невъзможна“ (вж. параграф 14 от решението). Съдът не е анализирал дали ограниченият достъп на българските пациенти до продукти, за които се твърди, че са полезни, и които са били на разположение на други места, би могъл да бъде оправдан и ако да, на какви основания.</w:t>
      </w:r>
    </w:p>
    <w:p w:rsidR="0095532B" w:rsidRPr="00006A07" w:rsidRDefault="0095532B" w:rsidP="008D7A78">
      <w:pPr>
        <w:pStyle w:val="OpiPara"/>
        <w:rPr>
          <w:lang w:val="bg-BG"/>
        </w:rPr>
      </w:pPr>
      <w:r w:rsidRPr="00006A07">
        <w:rPr>
          <w:lang w:val="bg-BG"/>
        </w:rPr>
        <w:t>Далеч от желанието да видя страната си превърната в сцена за опасни или унизителни медицински експерименти с човешки същества, аз съм готова да се съглася, че няма установено позитивно задължение за държавните власти да осигурят достъп на индивидуални пациенти до продукти за медицински цели, които на се били тествани по отношение на тяхното качество, ефикасност и безопасност – както мнозинството е заключило. Ако съществуват каквито и да било позитивни задължения спрямо индивидуални пациенти, те се отнасят до задължението за зачитане на техните права и за осигуряване на тяхното надлежно информирано съгласие за предложено медицинско лечение.</w:t>
      </w:r>
    </w:p>
    <w:p w:rsidR="0095532B" w:rsidRPr="00006A07" w:rsidRDefault="0095532B" w:rsidP="008D7A78">
      <w:pPr>
        <w:pStyle w:val="OpiPara"/>
        <w:rPr>
          <w:lang w:val="bg-BG"/>
        </w:rPr>
      </w:pPr>
      <w:r w:rsidRPr="00006A07">
        <w:rPr>
          <w:lang w:val="bg-BG"/>
        </w:rPr>
        <w:t xml:space="preserve">Когато обаче властите са поели задължението да въведат регулаторни механизми за контрол върху работата на медицинските и фармацевтичните специалисти, така че те да отговарят на обществените и лични интереси по отношение на безопасността, този ангажимент изисква от тях да поемат съответни и подходящи функции, чрез които да могат да изпълнят това задължение, вместо да заместват този ангажимент с право на преценка да отказват лечение при липсата на каквато и да било обосновка. Не съм готова да приема, че петдесет години след трагедията с </w:t>
      </w:r>
      <w:proofErr w:type="spellStart"/>
      <w:r w:rsidRPr="00006A07">
        <w:rPr>
          <w:lang w:val="bg-BG"/>
        </w:rPr>
        <w:t>талидомид</w:t>
      </w:r>
      <w:proofErr w:type="spellEnd"/>
      <w:r w:rsidRPr="00006A07">
        <w:rPr>
          <w:lang w:val="bg-BG"/>
        </w:rPr>
        <w:t xml:space="preserve">, която е довела до необходимостта от по-строго държавно регулиране, тази отговорност може да бъде тълкувана като включваща „широка свобода на преценка“ относно това как да се избегне изпълнението й. За разлика от малцинството с особено мнение, аз считам, че това е въпрос на законосъобразност на целта на ограниченията, които изглежда са били наложени вместо обещаните </w:t>
      </w:r>
      <w:proofErr w:type="spellStart"/>
      <w:r w:rsidRPr="00006A07">
        <w:rPr>
          <w:lang w:val="bg-BG"/>
        </w:rPr>
        <w:t>проактивни</w:t>
      </w:r>
      <w:proofErr w:type="spellEnd"/>
      <w:r w:rsidRPr="00006A07">
        <w:rPr>
          <w:lang w:val="bg-BG"/>
        </w:rPr>
        <w:t xml:space="preserve"> функции в интерес на безопасните медицински услуги, а не въпрос на „свободата на преценка“ на властите при установяването на необходимия баланс между обществените и личните интереси, за които се твърди, че са конкуриращи се при получаването на тези услуги. Освен това не съм съгласна и с мнението на малцинството, че „общественият интерес, определен от мнозинството в параграф 122 от решението може да бъде обслужен по полезен начин от по-подробно формулирани изисквания“ (вж. параграф 8 от особеното мнение на съдия Де </w:t>
      </w:r>
      <w:proofErr w:type="spellStart"/>
      <w:r w:rsidRPr="00006A07">
        <w:rPr>
          <w:lang w:val="bg-BG"/>
        </w:rPr>
        <w:t>Гаетано</w:t>
      </w:r>
      <w:proofErr w:type="spellEnd"/>
      <w:r w:rsidRPr="00006A07">
        <w:rPr>
          <w:lang w:val="bg-BG"/>
        </w:rPr>
        <w:t xml:space="preserve">, към което </w:t>
      </w:r>
      <w:r w:rsidRPr="00006A07">
        <w:rPr>
          <w:lang w:val="bg-BG"/>
        </w:rPr>
        <w:lastRenderedPageBreak/>
        <w:t xml:space="preserve">се присъединява съдия </w:t>
      </w:r>
      <w:proofErr w:type="spellStart"/>
      <w:r w:rsidRPr="00006A07">
        <w:rPr>
          <w:lang w:val="bg-BG"/>
        </w:rPr>
        <w:t>Вучинич</w:t>
      </w:r>
      <w:proofErr w:type="spellEnd"/>
      <w:r w:rsidRPr="00006A07">
        <w:rPr>
          <w:lang w:val="bg-BG"/>
        </w:rPr>
        <w:t>), вместо чрез ефективното упражняване на поетата отговорност, тъй като всъщност „няма значими фактори от обществен интерес, които да са в противовес на интереса на жалбоподателите“ (вж. параграф 9). Никакви конкретни съображения в това отношение не са били представени пред Съда.</w:t>
      </w:r>
    </w:p>
    <w:p w:rsidR="0095532B" w:rsidRPr="00006A07" w:rsidRDefault="0095532B" w:rsidP="008D7A78">
      <w:pPr>
        <w:pStyle w:val="OpiPara"/>
        <w:rPr>
          <w:lang w:val="bg-BG"/>
        </w:rPr>
      </w:pPr>
      <w:r w:rsidRPr="00006A07">
        <w:rPr>
          <w:lang w:val="bg-BG"/>
        </w:rPr>
        <w:t xml:space="preserve">Във връзка със специфичния спорен въпрос за предполагаемия риск, свързан с „неразрешени за употреба“, „неизпитани“ или „експериментални“ продукти, е невъзможно да не бъде споделено виждането, че никакви конкретни опасности, създаващи необходимост от защита на жалбоподателите, не са били посочвани или твърдени в нито един момент, нито те са били информирани за такива опасности в хода на краткото разглеждане на техните искания. В това отношение не може да бъде подминат фактът, че състоянието на жалбоподателите е такова, че допуска </w:t>
      </w:r>
      <w:proofErr w:type="spellStart"/>
      <w:r w:rsidRPr="00006A07">
        <w:rPr>
          <w:lang w:val="bg-BG"/>
        </w:rPr>
        <w:t>палиативната</w:t>
      </w:r>
      <w:proofErr w:type="spellEnd"/>
      <w:r w:rsidRPr="00006A07">
        <w:rPr>
          <w:lang w:val="bg-BG"/>
        </w:rPr>
        <w:t xml:space="preserve"> употреба на морфин – вещество, чието разпространение не само не е разрешено, но е и </w:t>
      </w:r>
      <w:proofErr w:type="spellStart"/>
      <w:r w:rsidRPr="00006A07">
        <w:rPr>
          <w:lang w:val="bg-BG"/>
        </w:rPr>
        <w:t>криминализирано</w:t>
      </w:r>
      <w:proofErr w:type="spellEnd"/>
      <w:r w:rsidRPr="00006A07">
        <w:rPr>
          <w:lang w:val="bg-BG"/>
        </w:rPr>
        <w:t>. Не се твърди, че новият продукт, до който жалбоподателите са искали да получат достъп, е по-опасен или по-малко ефективен от морфина. Споменавам този факт, тъй като не може да се игнорира това, че функциите на Държавата във връзка с разрешаването на употребата на лекарствени продукти включва разграничаване на различни нива на разрешение за употребата на лекарствени продукти за различни цели. Няма да допринеса към фармацевтичната или медиц</w:t>
      </w:r>
      <w:r>
        <w:rPr>
          <w:lang w:val="bg-BG"/>
        </w:rPr>
        <w:t>ин</w:t>
      </w:r>
      <w:r w:rsidRPr="00006A07">
        <w:rPr>
          <w:lang w:val="bg-BG"/>
        </w:rPr>
        <w:t xml:space="preserve">ската наука, като отбележа, че някои продукти, включително отрови, никога не са били разрешавани за разпространение на пазара, независимо дали тяхната употреба е легитимна и разрешена за специфични медицински цели. Така дори трагедията с </w:t>
      </w:r>
      <w:proofErr w:type="spellStart"/>
      <w:r w:rsidRPr="00006A07">
        <w:rPr>
          <w:lang w:val="bg-BG"/>
        </w:rPr>
        <w:t>талидомид</w:t>
      </w:r>
      <w:proofErr w:type="spellEnd"/>
      <w:r w:rsidRPr="00006A07">
        <w:rPr>
          <w:lang w:val="bg-BG"/>
        </w:rPr>
        <w:t xml:space="preserve">, която доведе до въвеждането на по-строг контрол върху разпространението на лекарствени продукти на пазара, не доведе до „забраната“ на този продукт, а до ограничената му употреба, която понастоящем е разрешена за определени пациенти. За съжаление, разграничаването на разрешена употреба за различни цели като разпространение на пазара, употреба по предписание, употреба не по предназначение за целите на индивидуално лечение или </w:t>
      </w:r>
      <w:proofErr w:type="spellStart"/>
      <w:r w:rsidRPr="00006A07">
        <w:rPr>
          <w:lang w:val="bg-BG"/>
        </w:rPr>
        <w:t>палиативна</w:t>
      </w:r>
      <w:proofErr w:type="spellEnd"/>
      <w:r w:rsidRPr="00006A07">
        <w:rPr>
          <w:lang w:val="bg-BG"/>
        </w:rPr>
        <w:t xml:space="preserve"> употреба не е отразено в приложимото вторично законодателство, нито е взето предвид от мнозинството при анализа му на съразмерността или необходимостта от автоматичния отказ, с който жалбоподателите са се сблъскали, въпреки вече одобрената употреба на експерименталния продукт за специфични цели в други държави. Накрая, изглежда че оспорените откази не са послужили нито за информиране на жалбоподателите относно какъвто и да било риск за живота или унизителни експерименти, с които може да бъде свързано исканото лечение, нито за предотвратяване на такова лечение. Всъщност някои от жалбоподателите са се възползвали от съответния продукт извън територията, на която националните власти упражняват </w:t>
      </w:r>
      <w:r w:rsidRPr="00006A07">
        <w:rPr>
          <w:lang w:val="bg-BG"/>
        </w:rPr>
        <w:lastRenderedPageBreak/>
        <w:t>юрисдикция. Въпросът е дали държавната регулация на безопасността на пациентите и на обществото при медицинското лечение е само въпрос на пари?</w:t>
      </w:r>
    </w:p>
    <w:p w:rsidR="0095532B" w:rsidRPr="00006A07" w:rsidRDefault="0095532B" w:rsidP="008D7A78">
      <w:pPr>
        <w:pStyle w:val="OpiPara"/>
        <w:rPr>
          <w:lang w:val="bg-BG"/>
        </w:rPr>
      </w:pPr>
      <w:r w:rsidRPr="00006A07">
        <w:rPr>
          <w:lang w:val="bg-BG"/>
        </w:rPr>
        <w:t>За съжаление, при приемането на въпросната вторична уредба и издаването на произтичащите от нея откази, националните власти не са посочили нито една убедителна причина, отнасяща се до регулаторните функции на държавните власти във връзка с медицинското лечение на индивидуални пациенти.</w:t>
      </w:r>
    </w:p>
    <w:p w:rsidR="0095532B" w:rsidRPr="00006A07" w:rsidRDefault="0095532B" w:rsidP="008D7A78">
      <w:pPr>
        <w:pStyle w:val="OpiPara"/>
        <w:rPr>
          <w:lang w:val="bg-BG"/>
        </w:rPr>
      </w:pPr>
      <w:r w:rsidRPr="00006A07">
        <w:rPr>
          <w:lang w:val="bg-BG"/>
        </w:rPr>
        <w:t xml:space="preserve">Преглеждайки цитираната практика на други съдилища (вж. параграфи 59 </w:t>
      </w:r>
      <w:r w:rsidRPr="00006A07">
        <w:rPr>
          <w:lang w:val="bg-BG"/>
        </w:rPr>
        <w:noBreakHyphen/>
        <w:t xml:space="preserve"> 67 от решението), намирам за смущаващо, че Съдът, когато е призован да разгледа степента, в която властите са спазили задълженията си за зачитане на индивидуалното право на медицинско обслужване, както и позитивните им задължения да осигурят ефективното и безопасно упражняване на това право, изглежда е първият, който не разглежда комплексните етични и морални въпроси, възникващи при подобни казуси.</w:t>
      </w:r>
    </w:p>
    <w:p w:rsidR="0095532B" w:rsidRPr="00006A07" w:rsidRDefault="0095532B" w:rsidP="00196D0A">
      <w:pPr>
        <w:pStyle w:val="OpiPara"/>
        <w:rPr>
          <w:lang w:val="bg-BG"/>
        </w:rPr>
      </w:pPr>
    </w:p>
    <w:p w:rsidR="0095532B" w:rsidRPr="00006A07" w:rsidRDefault="0095532B" w:rsidP="00196D0A">
      <w:pPr>
        <w:pStyle w:val="OpiPara"/>
        <w:rPr>
          <w:lang w:val="bg-BG"/>
        </w:rPr>
      </w:pPr>
    </w:p>
    <w:p w:rsidR="0095532B" w:rsidRPr="00006A07" w:rsidRDefault="0095532B" w:rsidP="00602BCF">
      <w:pPr>
        <w:pStyle w:val="OpiHHead"/>
        <w:pageBreakBefore/>
        <w:rPr>
          <w:lang w:val="bg-BG"/>
        </w:rPr>
      </w:pPr>
      <w:r w:rsidRPr="00006A07">
        <w:rPr>
          <w:lang w:val="bg-BG"/>
        </w:rPr>
        <w:lastRenderedPageBreak/>
        <w:t>ОСОБЕНО МНЕНИЕ НА СЪДИЯ ДЕ ГАЕТАНО, КЪМ КОЕТО СЕ ПРИСЪЕДИНЯВА СЪДИЯ ВУЧИНИЧ</w:t>
      </w:r>
    </w:p>
    <w:p w:rsidR="0095532B" w:rsidRPr="00006A07" w:rsidRDefault="0095532B" w:rsidP="0049322E">
      <w:pPr>
        <w:pStyle w:val="OpiPara"/>
        <w:rPr>
          <w:lang w:val="bg-BG"/>
        </w:rPr>
      </w:pPr>
      <w:r w:rsidRPr="00006A07">
        <w:rPr>
          <w:lang w:val="bg-BG"/>
        </w:rPr>
        <w:t>1.  Съжалявам, че не мога да споделя заключенията на мнозинството по това дело, с изключение на заключенията по въпроса за допустимостта на оплакванията относно отказът на властите да разрешат на жалбоподателите да използват експерименталния продукт, който те са искали да им бъде приложен, и по въпроса за недопустимостта на оплакването във връзка с твърдяното нарушение на член 13. Според мен по това дело е налице нарушение на член 8 и тази констатация би направила излишно разглеждането на спорните въпроси по членове 2 и 3 (</w:t>
      </w:r>
      <w:bookmarkStart w:id="59" w:name="File1"/>
      <w:r w:rsidRPr="00006A07">
        <w:rPr>
          <w:lang w:val="bg-BG"/>
        </w:rPr>
        <w:t xml:space="preserve">вж. </w:t>
      </w:r>
      <w:proofErr w:type="spellStart"/>
      <w:r w:rsidRPr="00006A07">
        <w:rPr>
          <w:i/>
          <w:iCs/>
          <w:lang w:val="bg-BG"/>
        </w:rPr>
        <w:t>Guerra</w:t>
      </w:r>
      <w:proofErr w:type="spellEnd"/>
      <w:r w:rsidRPr="00006A07">
        <w:rPr>
          <w:i/>
          <w:iCs/>
          <w:lang w:val="bg-BG"/>
        </w:rPr>
        <w:t xml:space="preserve"> </w:t>
      </w:r>
      <w:proofErr w:type="spellStart"/>
      <w:r w:rsidRPr="00006A07">
        <w:rPr>
          <w:i/>
          <w:iCs/>
          <w:lang w:val="bg-BG"/>
        </w:rPr>
        <w:t>and</w:t>
      </w:r>
      <w:proofErr w:type="spellEnd"/>
      <w:r w:rsidRPr="00006A07">
        <w:rPr>
          <w:i/>
          <w:iCs/>
          <w:lang w:val="bg-BG"/>
        </w:rPr>
        <w:t xml:space="preserve"> </w:t>
      </w:r>
      <w:proofErr w:type="spellStart"/>
      <w:r w:rsidRPr="00006A07">
        <w:rPr>
          <w:i/>
          <w:iCs/>
          <w:lang w:val="bg-BG"/>
        </w:rPr>
        <w:t>Others</w:t>
      </w:r>
      <w:bookmarkEnd w:id="59"/>
      <w:proofErr w:type="spellEnd"/>
      <w:r w:rsidRPr="00006A07">
        <w:rPr>
          <w:i/>
          <w:iCs/>
          <w:lang w:val="bg-BG"/>
        </w:rPr>
        <w:t xml:space="preserve"> v. </w:t>
      </w:r>
      <w:proofErr w:type="spellStart"/>
      <w:r w:rsidRPr="00006A07">
        <w:rPr>
          <w:i/>
          <w:iCs/>
          <w:lang w:val="bg-BG"/>
        </w:rPr>
        <w:t>Italy</w:t>
      </w:r>
      <w:proofErr w:type="spellEnd"/>
      <w:r w:rsidRPr="00006A07">
        <w:rPr>
          <w:lang w:val="bg-BG"/>
        </w:rPr>
        <w:t xml:space="preserve">, 19 февруари 1998 г., </w:t>
      </w:r>
      <w:proofErr w:type="spellStart"/>
      <w:r w:rsidRPr="00006A07">
        <w:rPr>
          <w:i/>
          <w:iCs/>
          <w:lang w:val="bg-BG"/>
        </w:rPr>
        <w:t>Reports</w:t>
      </w:r>
      <w:proofErr w:type="spellEnd"/>
      <w:r w:rsidRPr="00006A07">
        <w:rPr>
          <w:i/>
          <w:iCs/>
          <w:lang w:val="bg-BG"/>
        </w:rPr>
        <w:t xml:space="preserve"> of </w:t>
      </w:r>
      <w:proofErr w:type="spellStart"/>
      <w:r w:rsidRPr="00006A07">
        <w:rPr>
          <w:i/>
          <w:iCs/>
          <w:lang w:val="bg-BG"/>
        </w:rPr>
        <w:t>Judgments</w:t>
      </w:r>
      <w:proofErr w:type="spellEnd"/>
      <w:r w:rsidRPr="00006A07">
        <w:rPr>
          <w:i/>
          <w:iCs/>
          <w:lang w:val="bg-BG"/>
        </w:rPr>
        <w:t xml:space="preserve"> </w:t>
      </w:r>
      <w:proofErr w:type="spellStart"/>
      <w:r w:rsidRPr="00006A07">
        <w:rPr>
          <w:i/>
          <w:iCs/>
          <w:lang w:val="bg-BG"/>
        </w:rPr>
        <w:t>and</w:t>
      </w:r>
      <w:proofErr w:type="spellEnd"/>
      <w:r w:rsidRPr="00006A07">
        <w:rPr>
          <w:i/>
          <w:iCs/>
          <w:lang w:val="bg-BG"/>
        </w:rPr>
        <w:t xml:space="preserve"> </w:t>
      </w:r>
      <w:proofErr w:type="spellStart"/>
      <w:r w:rsidRPr="00006A07">
        <w:rPr>
          <w:i/>
          <w:iCs/>
          <w:lang w:val="bg-BG"/>
        </w:rPr>
        <w:t>Decisions</w:t>
      </w:r>
      <w:proofErr w:type="spellEnd"/>
      <w:r w:rsidRPr="00006A07">
        <w:rPr>
          <w:lang w:val="bg-BG"/>
        </w:rPr>
        <w:t xml:space="preserve"> 1998</w:t>
      </w:r>
      <w:r w:rsidRPr="00006A07">
        <w:rPr>
          <w:lang w:val="bg-BG"/>
        </w:rPr>
        <w:noBreakHyphen/>
        <w:t>I).</w:t>
      </w:r>
    </w:p>
    <w:p w:rsidR="0095532B" w:rsidRPr="00006A07" w:rsidRDefault="0095532B" w:rsidP="0049322E">
      <w:pPr>
        <w:pStyle w:val="OpiPara"/>
        <w:rPr>
          <w:lang w:val="bg-BG"/>
        </w:rPr>
      </w:pPr>
      <w:r w:rsidRPr="00006A07">
        <w:rPr>
          <w:lang w:val="bg-BG"/>
        </w:rPr>
        <w:t>2.  Фактите по делото могат да бъдат обобщени както следва: няколко пациенти, болни от рак в последен стадий на заболяването, искат като последна мярка да им бъде разр</w:t>
      </w:r>
      <w:r>
        <w:rPr>
          <w:lang w:val="bg-BG"/>
        </w:rPr>
        <w:t>ешено да опитат експериментален и потенциално спорен</w:t>
      </w:r>
      <w:r w:rsidRPr="00006A07">
        <w:rPr>
          <w:lang w:val="bg-BG"/>
        </w:rPr>
        <w:t xml:space="preserve"> продукт срещу рак, който е разработен от канадско дружество. Те са напълно наясно с рисковете, съпровождащи това лечение. Лечението не е достъпно в България и въпреки че е било предлагано безплатно от канадското дружество, все пак се изисква участието на български лечебни заведения и на български лекари, за да бъде прилагано в България. От това произтича и необходимостта жалбоподателите да подадат заявление пред националните власти за необходимото разрешение (вж. параграфи 14 и 26 от решението).</w:t>
      </w:r>
    </w:p>
    <w:p w:rsidR="0095532B" w:rsidRPr="00006A07" w:rsidRDefault="0095532B" w:rsidP="0049322E">
      <w:pPr>
        <w:pStyle w:val="OpiPara"/>
        <w:rPr>
          <w:lang w:val="bg-BG"/>
        </w:rPr>
      </w:pPr>
      <w:r w:rsidRPr="00006A07">
        <w:rPr>
          <w:lang w:val="bg-BG"/>
        </w:rPr>
        <w:t xml:space="preserve">3.  Според мен възможността „едно лице да се лекува“ – независимо дали чрез употребата на немедицински продукти, на стандартни лекарства или на налични алтернативни лекарства, както в настоящия случай – и да се прави информиран и свободен избор в тази връзка (и при условие че такъв избор не въздейства отрицателно върху живота или здравето на друг) попада в рамките на сферата на личния живот на това лице. Действително, както правилно е посочено в параграф 116 от решението, самата концепция за „личен живот“ включва степен на лична автономия, свързана с оценка на качеството на живот в конкретна ситуация. Съгласен съм също така, че въпросите в областта на политиката по здравеопазване по принцип са в обхвата на свободата на преценка на националните власти, които най-добре могат да преценят приоритетите, използването на ресурсите и обществените нужди (параграф 119 от решението). Спорният въпрос по настоящото дело обаче е значително по-тесен и не включва разпределянето на ресурси. При него няма намесени финансови съображения или императиви. Жалбоподателите не изискват от Държавата да плати за това лечение (за разлика от, наред с други, </w:t>
      </w:r>
      <w:proofErr w:type="spellStart"/>
      <w:r w:rsidRPr="00006A07">
        <w:rPr>
          <w:i/>
          <w:iCs/>
          <w:lang w:val="bg-BG"/>
        </w:rPr>
        <w:t>Wiater</w:t>
      </w:r>
      <w:proofErr w:type="spellEnd"/>
      <w:r w:rsidRPr="00006A07">
        <w:rPr>
          <w:i/>
          <w:iCs/>
          <w:lang w:val="bg-BG"/>
        </w:rPr>
        <w:t xml:space="preserve"> v. </w:t>
      </w:r>
      <w:proofErr w:type="spellStart"/>
      <w:r w:rsidRPr="00006A07">
        <w:rPr>
          <w:i/>
          <w:iCs/>
          <w:lang w:val="bg-BG"/>
        </w:rPr>
        <w:t>Poland</w:t>
      </w:r>
      <w:proofErr w:type="spellEnd"/>
      <w:r w:rsidRPr="00006A07">
        <w:rPr>
          <w:lang w:val="bg-BG"/>
        </w:rPr>
        <w:t xml:space="preserve"> (</w:t>
      </w:r>
      <w:proofErr w:type="spellStart"/>
      <w:r w:rsidRPr="00006A07">
        <w:rPr>
          <w:lang w:val="bg-BG"/>
        </w:rPr>
        <w:t>dec</w:t>
      </w:r>
      <w:proofErr w:type="spellEnd"/>
      <w:r w:rsidRPr="00006A07">
        <w:rPr>
          <w:lang w:val="bg-BG"/>
        </w:rPr>
        <w:t xml:space="preserve">.), </w:t>
      </w:r>
      <w:proofErr w:type="spellStart"/>
      <w:r w:rsidRPr="00006A07">
        <w:rPr>
          <w:lang w:val="bg-BG"/>
        </w:rPr>
        <w:t>no</w:t>
      </w:r>
      <w:proofErr w:type="spellEnd"/>
      <w:r w:rsidRPr="00006A07">
        <w:rPr>
          <w:lang w:val="bg-BG"/>
        </w:rPr>
        <w:t xml:space="preserve">. 42290/08, § 33, 15 май 2010 г.). Те само искат Държавата „да освободи </w:t>
      </w:r>
      <w:r w:rsidRPr="00006A07">
        <w:rPr>
          <w:lang w:val="bg-BG"/>
        </w:rPr>
        <w:lastRenderedPageBreak/>
        <w:t xml:space="preserve">пътя“ и да им позволи достъп до експериментален продукт, който би им бил предоставен безплатно. Следователно в настоящия случай Съдът следва да определи приложимата свобода на преценка, като се позове на фактори, които са по-специфични за конкретната ситуация (вж. </w:t>
      </w:r>
      <w:proofErr w:type="spellStart"/>
      <w:r w:rsidRPr="00006A07">
        <w:rPr>
          <w:i/>
          <w:iCs/>
          <w:lang w:val="bg-BG"/>
        </w:rPr>
        <w:t>Hatton</w:t>
      </w:r>
      <w:proofErr w:type="spellEnd"/>
      <w:r w:rsidRPr="00006A07">
        <w:rPr>
          <w:i/>
          <w:iCs/>
          <w:lang w:val="bg-BG"/>
        </w:rPr>
        <w:t xml:space="preserve"> </w:t>
      </w:r>
      <w:proofErr w:type="spellStart"/>
      <w:r w:rsidRPr="00006A07">
        <w:rPr>
          <w:i/>
          <w:iCs/>
          <w:lang w:val="bg-BG"/>
        </w:rPr>
        <w:t>and</w:t>
      </w:r>
      <w:proofErr w:type="spellEnd"/>
      <w:r w:rsidRPr="00006A07">
        <w:rPr>
          <w:i/>
          <w:iCs/>
          <w:lang w:val="bg-BG"/>
        </w:rPr>
        <w:t xml:space="preserve"> </w:t>
      </w:r>
      <w:proofErr w:type="spellStart"/>
      <w:r w:rsidRPr="00006A07">
        <w:rPr>
          <w:i/>
          <w:iCs/>
          <w:lang w:val="bg-BG"/>
        </w:rPr>
        <w:t>Others</w:t>
      </w:r>
      <w:proofErr w:type="spellEnd"/>
      <w:r w:rsidRPr="00006A07">
        <w:rPr>
          <w:i/>
          <w:iCs/>
          <w:lang w:val="bg-BG"/>
        </w:rPr>
        <w:t xml:space="preserve"> v. </w:t>
      </w:r>
      <w:proofErr w:type="spellStart"/>
      <w:r w:rsidRPr="00006A07">
        <w:rPr>
          <w:i/>
          <w:iCs/>
          <w:lang w:val="bg-BG"/>
        </w:rPr>
        <w:t>the</w:t>
      </w:r>
      <w:proofErr w:type="spellEnd"/>
      <w:r w:rsidRPr="00006A07">
        <w:rPr>
          <w:i/>
          <w:iCs/>
          <w:lang w:val="bg-BG"/>
        </w:rPr>
        <w:t xml:space="preserve"> </w:t>
      </w:r>
      <w:proofErr w:type="spellStart"/>
      <w:r w:rsidRPr="00006A07">
        <w:rPr>
          <w:i/>
          <w:iCs/>
          <w:lang w:val="bg-BG"/>
        </w:rPr>
        <w:t>United</w:t>
      </w:r>
      <w:proofErr w:type="spellEnd"/>
      <w:r w:rsidRPr="00006A07">
        <w:rPr>
          <w:i/>
          <w:iCs/>
          <w:lang w:val="bg-BG"/>
        </w:rPr>
        <w:t xml:space="preserve"> </w:t>
      </w:r>
      <w:proofErr w:type="spellStart"/>
      <w:r w:rsidRPr="00006A07">
        <w:rPr>
          <w:i/>
          <w:iCs/>
          <w:lang w:val="bg-BG"/>
        </w:rPr>
        <w:t>Kingdom</w:t>
      </w:r>
      <w:proofErr w:type="spellEnd"/>
      <w:r w:rsidRPr="00006A07">
        <w:rPr>
          <w:i/>
          <w:iCs/>
          <w:lang w:val="bg-BG"/>
        </w:rPr>
        <w:t xml:space="preserve"> </w:t>
      </w:r>
      <w:r w:rsidRPr="00006A07">
        <w:rPr>
          <w:lang w:val="bg-BG"/>
        </w:rPr>
        <w:t xml:space="preserve">[GC], </w:t>
      </w:r>
      <w:proofErr w:type="spellStart"/>
      <w:r w:rsidRPr="00006A07">
        <w:rPr>
          <w:lang w:val="bg-BG"/>
        </w:rPr>
        <w:t>no</w:t>
      </w:r>
      <w:proofErr w:type="spellEnd"/>
      <w:r w:rsidRPr="00006A07">
        <w:rPr>
          <w:lang w:val="bg-BG"/>
        </w:rPr>
        <w:t>. 36022/97, § 103, ECHR 2003</w:t>
      </w:r>
      <w:r w:rsidRPr="00006A07">
        <w:rPr>
          <w:lang w:val="bg-BG"/>
        </w:rPr>
        <w:noBreakHyphen/>
        <w:t>VIII, където Съдът посочва, че противоречие във вижданията относно свободата на преценка може да бъде разрешено единствено чрез позоваване на контекста на конкретен случай), и по-специално – на критичното медицинско състояние на жалбоподателите и на наличните прогнози за тях.</w:t>
      </w:r>
    </w:p>
    <w:p w:rsidR="0095532B" w:rsidRPr="00006A07" w:rsidRDefault="0095532B" w:rsidP="0049322E">
      <w:pPr>
        <w:pStyle w:val="OpiPara"/>
        <w:rPr>
          <w:lang w:val="bg-BG"/>
        </w:rPr>
      </w:pPr>
      <w:r w:rsidRPr="00006A07">
        <w:rPr>
          <w:lang w:val="bg-BG"/>
        </w:rPr>
        <w:t xml:space="preserve">4.  Освен това свободата на преценка на държавата не е неограничена и независимо колко широка може да бъде, тя трябва винаги да бъде разглеждана от гледна точка на ценностите, които са залегнали в основата на Конвенцията, водещата сред които е ценността на живота. Съдът често е посочвал, че Конвенцията трябва като цяло да бъде разглеждана и тълкувана (а аз бих казал – и прилагана) по начин, който да подпомага вътрешната съгласуваност и хармония между различните й разпоредби и различните ценности, закрепени в нея (вж., макар и в различен контекст, </w:t>
      </w:r>
      <w:proofErr w:type="spellStart"/>
      <w:r w:rsidRPr="00006A07">
        <w:rPr>
          <w:i/>
          <w:iCs/>
          <w:lang w:val="bg-BG"/>
        </w:rPr>
        <w:t>Stec</w:t>
      </w:r>
      <w:proofErr w:type="spellEnd"/>
      <w:r w:rsidRPr="00006A07">
        <w:rPr>
          <w:i/>
          <w:iCs/>
          <w:lang w:val="bg-BG"/>
        </w:rPr>
        <w:t xml:space="preserve"> </w:t>
      </w:r>
      <w:proofErr w:type="spellStart"/>
      <w:r w:rsidRPr="00006A07">
        <w:rPr>
          <w:i/>
          <w:iCs/>
          <w:lang w:val="bg-BG"/>
        </w:rPr>
        <w:t>and</w:t>
      </w:r>
      <w:proofErr w:type="spellEnd"/>
      <w:r w:rsidRPr="00006A07">
        <w:rPr>
          <w:i/>
          <w:iCs/>
          <w:lang w:val="bg-BG"/>
        </w:rPr>
        <w:t xml:space="preserve"> </w:t>
      </w:r>
      <w:proofErr w:type="spellStart"/>
      <w:r w:rsidRPr="00006A07">
        <w:rPr>
          <w:i/>
          <w:iCs/>
          <w:lang w:val="bg-BG"/>
        </w:rPr>
        <w:t>Others</w:t>
      </w:r>
      <w:proofErr w:type="spellEnd"/>
      <w:r w:rsidRPr="00006A07">
        <w:rPr>
          <w:i/>
          <w:iCs/>
          <w:lang w:val="bg-BG"/>
        </w:rPr>
        <w:t xml:space="preserve"> v. </w:t>
      </w:r>
      <w:proofErr w:type="spellStart"/>
      <w:r w:rsidRPr="00006A07">
        <w:rPr>
          <w:i/>
          <w:iCs/>
          <w:lang w:val="bg-BG"/>
        </w:rPr>
        <w:t>the</w:t>
      </w:r>
      <w:proofErr w:type="spellEnd"/>
      <w:r w:rsidRPr="00006A07">
        <w:rPr>
          <w:i/>
          <w:iCs/>
          <w:lang w:val="bg-BG"/>
        </w:rPr>
        <w:t xml:space="preserve"> </w:t>
      </w:r>
      <w:proofErr w:type="spellStart"/>
      <w:r w:rsidRPr="00006A07">
        <w:rPr>
          <w:i/>
          <w:iCs/>
          <w:lang w:val="bg-BG"/>
        </w:rPr>
        <w:t>United</w:t>
      </w:r>
      <w:proofErr w:type="spellEnd"/>
      <w:r w:rsidRPr="00006A07">
        <w:rPr>
          <w:i/>
          <w:iCs/>
          <w:lang w:val="bg-BG"/>
        </w:rPr>
        <w:t xml:space="preserve"> </w:t>
      </w:r>
      <w:proofErr w:type="spellStart"/>
      <w:r w:rsidRPr="00006A07">
        <w:rPr>
          <w:i/>
          <w:iCs/>
          <w:lang w:val="bg-BG"/>
        </w:rPr>
        <w:t>Kingdom</w:t>
      </w:r>
      <w:proofErr w:type="spellEnd"/>
      <w:r w:rsidRPr="00006A07">
        <w:rPr>
          <w:i/>
          <w:iCs/>
          <w:lang w:val="bg-BG"/>
        </w:rPr>
        <w:t xml:space="preserve"> </w:t>
      </w:r>
      <w:r w:rsidRPr="00006A07">
        <w:rPr>
          <w:lang w:val="bg-BG"/>
        </w:rPr>
        <w:t>(</w:t>
      </w:r>
      <w:proofErr w:type="spellStart"/>
      <w:r w:rsidRPr="00006A07">
        <w:rPr>
          <w:lang w:val="bg-BG"/>
        </w:rPr>
        <w:t>dec</w:t>
      </w:r>
      <w:proofErr w:type="spellEnd"/>
      <w:r w:rsidRPr="00006A07">
        <w:rPr>
          <w:lang w:val="bg-BG"/>
        </w:rPr>
        <w:t xml:space="preserve">.) [GC], </w:t>
      </w:r>
      <w:proofErr w:type="spellStart"/>
      <w:r w:rsidRPr="00006A07">
        <w:rPr>
          <w:lang w:val="bg-BG"/>
        </w:rPr>
        <w:t>nos</w:t>
      </w:r>
      <w:proofErr w:type="spellEnd"/>
      <w:r w:rsidRPr="00006A07">
        <w:rPr>
          <w:lang w:val="bg-BG"/>
        </w:rPr>
        <w:t>. 65731/01 и 65900/01, § 48, ECHR 2005</w:t>
      </w:r>
      <w:r w:rsidRPr="00006A07">
        <w:rPr>
          <w:lang w:val="bg-BG"/>
        </w:rPr>
        <w:noBreakHyphen/>
        <w:t xml:space="preserve">X; </w:t>
      </w:r>
      <w:r w:rsidRPr="00006A07">
        <w:rPr>
          <w:i/>
          <w:iCs/>
          <w:lang w:val="bg-BG"/>
        </w:rPr>
        <w:t xml:space="preserve">Austin </w:t>
      </w:r>
      <w:proofErr w:type="spellStart"/>
      <w:r w:rsidRPr="00006A07">
        <w:rPr>
          <w:i/>
          <w:iCs/>
          <w:lang w:val="bg-BG"/>
        </w:rPr>
        <w:t>and</w:t>
      </w:r>
      <w:proofErr w:type="spellEnd"/>
      <w:r w:rsidRPr="00006A07">
        <w:rPr>
          <w:i/>
          <w:iCs/>
          <w:lang w:val="bg-BG"/>
        </w:rPr>
        <w:t xml:space="preserve"> </w:t>
      </w:r>
      <w:proofErr w:type="spellStart"/>
      <w:r w:rsidRPr="00006A07">
        <w:rPr>
          <w:i/>
          <w:iCs/>
          <w:lang w:val="bg-BG"/>
        </w:rPr>
        <w:t>Others</w:t>
      </w:r>
      <w:proofErr w:type="spellEnd"/>
      <w:r w:rsidRPr="00006A07">
        <w:rPr>
          <w:i/>
          <w:iCs/>
          <w:lang w:val="bg-BG"/>
        </w:rPr>
        <w:t xml:space="preserve"> v. </w:t>
      </w:r>
      <w:proofErr w:type="spellStart"/>
      <w:r w:rsidRPr="00006A07">
        <w:rPr>
          <w:i/>
          <w:iCs/>
          <w:lang w:val="bg-BG"/>
        </w:rPr>
        <w:t>the</w:t>
      </w:r>
      <w:proofErr w:type="spellEnd"/>
      <w:r w:rsidRPr="00006A07">
        <w:rPr>
          <w:i/>
          <w:iCs/>
          <w:lang w:val="bg-BG"/>
        </w:rPr>
        <w:t xml:space="preserve"> </w:t>
      </w:r>
      <w:proofErr w:type="spellStart"/>
      <w:r w:rsidRPr="00006A07">
        <w:rPr>
          <w:i/>
          <w:iCs/>
          <w:lang w:val="bg-BG"/>
        </w:rPr>
        <w:t>United</w:t>
      </w:r>
      <w:proofErr w:type="spellEnd"/>
      <w:r w:rsidRPr="00006A07">
        <w:rPr>
          <w:i/>
          <w:iCs/>
          <w:lang w:val="bg-BG"/>
        </w:rPr>
        <w:t xml:space="preserve"> </w:t>
      </w:r>
      <w:proofErr w:type="spellStart"/>
      <w:r w:rsidRPr="00006A07">
        <w:rPr>
          <w:i/>
          <w:iCs/>
          <w:lang w:val="bg-BG"/>
        </w:rPr>
        <w:t>Kingdom</w:t>
      </w:r>
      <w:proofErr w:type="spellEnd"/>
      <w:r w:rsidRPr="00006A07">
        <w:rPr>
          <w:i/>
          <w:iCs/>
          <w:lang w:val="bg-BG"/>
        </w:rPr>
        <w:t xml:space="preserve"> </w:t>
      </w:r>
      <w:r w:rsidRPr="00006A07">
        <w:rPr>
          <w:lang w:val="bg-BG"/>
        </w:rPr>
        <w:t xml:space="preserve">[GC], </w:t>
      </w:r>
      <w:proofErr w:type="spellStart"/>
      <w:r w:rsidRPr="00006A07">
        <w:rPr>
          <w:lang w:val="bg-BG"/>
        </w:rPr>
        <w:t>nos</w:t>
      </w:r>
      <w:proofErr w:type="spellEnd"/>
      <w:r w:rsidRPr="00006A07">
        <w:rPr>
          <w:lang w:val="bg-BG"/>
        </w:rPr>
        <w:t>. 39692/09, 40713/09 и 41008/09, § 54, ECHR 2012 г.</w:t>
      </w:r>
      <w:r w:rsidRPr="00006A07">
        <w:rPr>
          <w:lang w:val="bg-BG"/>
        </w:rPr>
        <w:noBreakHyphen/>
        <w:t>...). Следователно Съдът, оценявайки свободата на преценка при обстоятелствата по настоящия случай и метода, избран от българските власти за „балансиране“ на интересите, споменати в параграфи 120 и 122 от решението, е следвало да придаде повече тежест на ценността на живота.</w:t>
      </w:r>
    </w:p>
    <w:p w:rsidR="0095532B" w:rsidRPr="00006A07" w:rsidRDefault="0095532B" w:rsidP="0049322E">
      <w:pPr>
        <w:pStyle w:val="OpiPara"/>
        <w:rPr>
          <w:lang w:val="bg-BG"/>
        </w:rPr>
      </w:pPr>
      <w:r w:rsidRPr="00006A07">
        <w:rPr>
          <w:lang w:val="bg-BG"/>
        </w:rPr>
        <w:t xml:space="preserve">5.  Както е посочено в параграф 125 от решението, българските власти са избрали „да балансират конкуриращите се интереси“ – много се съмнявам дали тези интереси действително са били „в конкуренция“ един с друг, като се имат предвид фактите по случая – чрез приемането на общата формула, че ако един лекарствен продукт не е разрешен за употреба в друга държава, той не може да бъде използван по изключение за лечението на пациенти в България. Според мен, в случая на жалбоподателите – терминално болни пациенти – това генерализирано решение е излишно ограничаващо и надхвърля свободата на преценка на Държавата в тази сфера по две причини. Първата причина се отнася до начина, по който е достигнато до това решение (вж., </w:t>
      </w:r>
      <w:proofErr w:type="spellStart"/>
      <w:r w:rsidRPr="00006A07">
        <w:rPr>
          <w:i/>
          <w:iCs/>
          <w:lang w:val="bg-BG"/>
        </w:rPr>
        <w:t>mutatis</w:t>
      </w:r>
      <w:proofErr w:type="spellEnd"/>
      <w:r w:rsidRPr="00006A07">
        <w:rPr>
          <w:i/>
          <w:iCs/>
          <w:lang w:val="bg-BG"/>
        </w:rPr>
        <w:t xml:space="preserve"> </w:t>
      </w:r>
      <w:proofErr w:type="spellStart"/>
      <w:r w:rsidRPr="00006A07">
        <w:rPr>
          <w:i/>
          <w:iCs/>
          <w:lang w:val="bg-BG"/>
        </w:rPr>
        <w:t>mutandis</w:t>
      </w:r>
      <w:proofErr w:type="spellEnd"/>
      <w:r w:rsidRPr="00006A07">
        <w:rPr>
          <w:lang w:val="bg-BG"/>
        </w:rPr>
        <w:t xml:space="preserve">, </w:t>
      </w:r>
      <w:proofErr w:type="spellStart"/>
      <w:r w:rsidRPr="00006A07">
        <w:rPr>
          <w:i/>
          <w:iCs/>
          <w:lang w:val="bg-BG" w:eastAsia="en-US"/>
        </w:rPr>
        <w:t>Hatton</w:t>
      </w:r>
      <w:proofErr w:type="spellEnd"/>
      <w:r w:rsidRPr="00006A07">
        <w:rPr>
          <w:i/>
          <w:iCs/>
          <w:lang w:val="bg-BG" w:eastAsia="en-US"/>
        </w:rPr>
        <w:t xml:space="preserve"> </w:t>
      </w:r>
      <w:proofErr w:type="spellStart"/>
      <w:r w:rsidRPr="00006A07">
        <w:rPr>
          <w:i/>
          <w:iCs/>
          <w:lang w:val="bg-BG" w:eastAsia="en-US"/>
        </w:rPr>
        <w:t>and</w:t>
      </w:r>
      <w:proofErr w:type="spellEnd"/>
      <w:r w:rsidRPr="00006A07">
        <w:rPr>
          <w:i/>
          <w:iCs/>
          <w:lang w:val="bg-BG" w:eastAsia="en-US"/>
        </w:rPr>
        <w:t xml:space="preserve"> </w:t>
      </w:r>
      <w:proofErr w:type="spellStart"/>
      <w:r w:rsidRPr="00006A07">
        <w:rPr>
          <w:i/>
          <w:iCs/>
          <w:lang w:val="bg-BG" w:eastAsia="en-US"/>
        </w:rPr>
        <w:t>Others</w:t>
      </w:r>
      <w:proofErr w:type="spellEnd"/>
      <w:r w:rsidRPr="00006A07">
        <w:rPr>
          <w:lang w:val="bg-BG" w:eastAsia="en-US"/>
        </w:rPr>
        <w:t>, цитирано по-горе, § 99</w:t>
      </w:r>
      <w:r w:rsidRPr="00006A07">
        <w:rPr>
          <w:lang w:val="bg-BG"/>
        </w:rPr>
        <w:t xml:space="preserve">). Няма доказателства, че когато са приемани въпросните наредби или </w:t>
      </w:r>
      <w:proofErr w:type="spellStart"/>
      <w:r w:rsidRPr="00006A07">
        <w:rPr>
          <w:lang w:val="bg-BG"/>
        </w:rPr>
        <w:t>последващите</w:t>
      </w:r>
      <w:proofErr w:type="spellEnd"/>
      <w:r w:rsidRPr="00006A07">
        <w:rPr>
          <w:lang w:val="bg-BG"/>
        </w:rPr>
        <w:t xml:space="preserve">, които ги заменят, министърът на здравеопазването е опитал да претегли конкуриращите се интереси или да прецени съразмерността на ограничението (вж., </w:t>
      </w:r>
      <w:proofErr w:type="spellStart"/>
      <w:r w:rsidRPr="00006A07">
        <w:rPr>
          <w:i/>
          <w:iCs/>
          <w:lang w:val="bg-BG"/>
        </w:rPr>
        <w:t>mutatis</w:t>
      </w:r>
      <w:proofErr w:type="spellEnd"/>
      <w:r w:rsidRPr="00006A07">
        <w:rPr>
          <w:i/>
          <w:iCs/>
          <w:lang w:val="bg-BG"/>
        </w:rPr>
        <w:t xml:space="preserve"> </w:t>
      </w:r>
      <w:proofErr w:type="spellStart"/>
      <w:r w:rsidRPr="00006A07">
        <w:rPr>
          <w:i/>
          <w:iCs/>
          <w:lang w:val="bg-BG"/>
        </w:rPr>
        <w:t>mutandis</w:t>
      </w:r>
      <w:proofErr w:type="spellEnd"/>
      <w:r w:rsidRPr="00006A07">
        <w:rPr>
          <w:lang w:val="bg-BG"/>
        </w:rPr>
        <w:t xml:space="preserve">, </w:t>
      </w:r>
      <w:proofErr w:type="spellStart"/>
      <w:r w:rsidRPr="00006A07">
        <w:rPr>
          <w:i/>
          <w:iCs/>
          <w:lang w:val="bg-BG"/>
        </w:rPr>
        <w:t>Dicksonv</w:t>
      </w:r>
      <w:proofErr w:type="spellEnd"/>
      <w:r w:rsidRPr="00006A07">
        <w:rPr>
          <w:i/>
          <w:iCs/>
          <w:lang w:val="bg-BG"/>
        </w:rPr>
        <w:t xml:space="preserve">. </w:t>
      </w:r>
      <w:proofErr w:type="spellStart"/>
      <w:r w:rsidRPr="00006A07">
        <w:rPr>
          <w:i/>
          <w:iCs/>
          <w:lang w:val="bg-BG"/>
        </w:rPr>
        <w:t>the</w:t>
      </w:r>
      <w:proofErr w:type="spellEnd"/>
      <w:r w:rsidRPr="00006A07">
        <w:rPr>
          <w:i/>
          <w:iCs/>
          <w:lang w:val="bg-BG"/>
        </w:rPr>
        <w:t xml:space="preserve"> </w:t>
      </w:r>
      <w:proofErr w:type="spellStart"/>
      <w:r w:rsidRPr="00006A07">
        <w:rPr>
          <w:i/>
          <w:iCs/>
          <w:lang w:val="bg-BG"/>
        </w:rPr>
        <w:t>United</w:t>
      </w:r>
      <w:proofErr w:type="spellEnd"/>
      <w:r w:rsidRPr="00006A07">
        <w:rPr>
          <w:i/>
          <w:iCs/>
          <w:lang w:val="bg-BG"/>
        </w:rPr>
        <w:t xml:space="preserve"> </w:t>
      </w:r>
      <w:proofErr w:type="spellStart"/>
      <w:r w:rsidRPr="00006A07">
        <w:rPr>
          <w:i/>
          <w:iCs/>
          <w:lang w:val="bg-BG"/>
        </w:rPr>
        <w:t>Kingdom</w:t>
      </w:r>
      <w:proofErr w:type="spellEnd"/>
      <w:r w:rsidRPr="00006A07">
        <w:rPr>
          <w:i/>
          <w:iCs/>
          <w:lang w:val="bg-BG"/>
        </w:rPr>
        <w:t xml:space="preserve"> </w:t>
      </w:r>
      <w:r w:rsidRPr="00006A07">
        <w:rPr>
          <w:lang w:val="bg-BG"/>
        </w:rPr>
        <w:t xml:space="preserve">[GC], </w:t>
      </w:r>
      <w:proofErr w:type="spellStart"/>
      <w:r w:rsidRPr="00006A07">
        <w:rPr>
          <w:lang w:val="bg-BG"/>
        </w:rPr>
        <w:t>no</w:t>
      </w:r>
      <w:proofErr w:type="spellEnd"/>
      <w:r w:rsidRPr="00006A07">
        <w:rPr>
          <w:lang w:val="bg-BG"/>
        </w:rPr>
        <w:t>. 44362/04, § 83 </w:t>
      </w:r>
      <w:proofErr w:type="spellStart"/>
      <w:r w:rsidRPr="00006A07">
        <w:rPr>
          <w:i/>
          <w:iCs/>
          <w:lang w:val="bg-BG"/>
        </w:rPr>
        <w:t>in</w:t>
      </w:r>
      <w:proofErr w:type="spellEnd"/>
      <w:r w:rsidRPr="00006A07">
        <w:rPr>
          <w:i/>
          <w:iCs/>
          <w:lang w:val="bg-BG"/>
        </w:rPr>
        <w:t> </w:t>
      </w:r>
      <w:proofErr w:type="spellStart"/>
      <w:r w:rsidRPr="00006A07">
        <w:rPr>
          <w:i/>
          <w:iCs/>
          <w:lang w:val="bg-BG"/>
        </w:rPr>
        <w:t>limine</w:t>
      </w:r>
      <w:proofErr w:type="spellEnd"/>
      <w:r w:rsidRPr="00006A07">
        <w:rPr>
          <w:lang w:val="bg-BG"/>
        </w:rPr>
        <w:t>, ECHR 2007</w:t>
      </w:r>
      <w:r w:rsidRPr="00006A07">
        <w:rPr>
          <w:lang w:val="bg-BG"/>
        </w:rPr>
        <w:noBreakHyphen/>
        <w:t xml:space="preserve">V), провеждайки например процес на обществена консултация (за разлика </w:t>
      </w:r>
      <w:r w:rsidRPr="00006A07">
        <w:rPr>
          <w:lang w:val="bg-BG"/>
        </w:rPr>
        <w:lastRenderedPageBreak/>
        <w:t xml:space="preserve">от, </w:t>
      </w:r>
      <w:proofErr w:type="spellStart"/>
      <w:r w:rsidRPr="00006A07">
        <w:rPr>
          <w:i/>
          <w:iCs/>
          <w:lang w:val="bg-BG"/>
        </w:rPr>
        <w:t>mutatis</w:t>
      </w:r>
      <w:proofErr w:type="spellEnd"/>
      <w:r w:rsidRPr="00006A07">
        <w:rPr>
          <w:i/>
          <w:iCs/>
          <w:lang w:val="bg-BG"/>
        </w:rPr>
        <w:t xml:space="preserve"> </w:t>
      </w:r>
      <w:proofErr w:type="spellStart"/>
      <w:r w:rsidRPr="00006A07">
        <w:rPr>
          <w:i/>
          <w:iCs/>
          <w:lang w:val="bg-BG"/>
        </w:rPr>
        <w:t>mutandis</w:t>
      </w:r>
      <w:proofErr w:type="spellEnd"/>
      <w:r w:rsidRPr="00006A07">
        <w:rPr>
          <w:lang w:val="bg-BG"/>
        </w:rPr>
        <w:t xml:space="preserve">, </w:t>
      </w:r>
      <w:proofErr w:type="spellStart"/>
      <w:r w:rsidRPr="00006A07">
        <w:rPr>
          <w:i/>
          <w:iCs/>
          <w:lang w:val="bg-BG" w:eastAsia="en-US"/>
        </w:rPr>
        <w:t>Hatton</w:t>
      </w:r>
      <w:proofErr w:type="spellEnd"/>
      <w:r w:rsidRPr="00006A07">
        <w:rPr>
          <w:i/>
          <w:iCs/>
          <w:lang w:val="bg-BG" w:eastAsia="en-US"/>
        </w:rPr>
        <w:t xml:space="preserve"> </w:t>
      </w:r>
      <w:proofErr w:type="spellStart"/>
      <w:r w:rsidRPr="00006A07">
        <w:rPr>
          <w:i/>
          <w:iCs/>
          <w:lang w:val="bg-BG" w:eastAsia="en-US"/>
        </w:rPr>
        <w:t>and</w:t>
      </w:r>
      <w:proofErr w:type="spellEnd"/>
      <w:r w:rsidRPr="00006A07">
        <w:rPr>
          <w:i/>
          <w:iCs/>
          <w:lang w:val="bg-BG" w:eastAsia="en-US"/>
        </w:rPr>
        <w:t xml:space="preserve"> </w:t>
      </w:r>
      <w:proofErr w:type="spellStart"/>
      <w:r w:rsidRPr="00006A07">
        <w:rPr>
          <w:i/>
          <w:iCs/>
          <w:lang w:val="bg-BG" w:eastAsia="en-US"/>
        </w:rPr>
        <w:t>Others</w:t>
      </w:r>
      <w:proofErr w:type="spellEnd"/>
      <w:r w:rsidRPr="00006A07">
        <w:rPr>
          <w:lang w:val="bg-BG"/>
        </w:rPr>
        <w:t xml:space="preserve">, цитирано по-горе, § 128). Нещо повече, тъй като забраната на достъпа до неразрешени за употреба лекарствени продукти, които не са били разрешени за употреба в други държави, не е била уредена в първично законодателство, различните конкуриращи се интереси никога не са били претегляни, нито въпросите за съразмерността някога са били преценявани от законодателния орган (вж., </w:t>
      </w:r>
      <w:proofErr w:type="spellStart"/>
      <w:r w:rsidRPr="00006A07">
        <w:rPr>
          <w:i/>
          <w:iCs/>
          <w:lang w:val="bg-BG"/>
        </w:rPr>
        <w:t>mutatis</w:t>
      </w:r>
      <w:proofErr w:type="spellEnd"/>
      <w:r w:rsidRPr="00006A07">
        <w:rPr>
          <w:i/>
          <w:iCs/>
          <w:lang w:val="bg-BG"/>
        </w:rPr>
        <w:t xml:space="preserve"> </w:t>
      </w:r>
      <w:proofErr w:type="spellStart"/>
      <w:r w:rsidRPr="00006A07">
        <w:rPr>
          <w:i/>
          <w:iCs/>
          <w:lang w:val="bg-BG"/>
        </w:rPr>
        <w:t>mutandis</w:t>
      </w:r>
      <w:proofErr w:type="spellEnd"/>
      <w:r w:rsidRPr="00006A07">
        <w:rPr>
          <w:lang w:val="bg-BG"/>
        </w:rPr>
        <w:t xml:space="preserve">, </w:t>
      </w:r>
      <w:proofErr w:type="spellStart"/>
      <w:r w:rsidRPr="00006A07">
        <w:rPr>
          <w:i/>
          <w:iCs/>
          <w:lang w:val="bg-BG"/>
        </w:rPr>
        <w:t>Dickson</w:t>
      </w:r>
      <w:proofErr w:type="spellEnd"/>
      <w:r w:rsidRPr="00006A07">
        <w:rPr>
          <w:lang w:val="bg-BG"/>
        </w:rPr>
        <w:t xml:space="preserve">, § 83, цитирано по-горе, и за разлика от </w:t>
      </w:r>
      <w:proofErr w:type="spellStart"/>
      <w:r w:rsidRPr="00006A07">
        <w:rPr>
          <w:i/>
          <w:iCs/>
          <w:lang w:val="bg-BG"/>
        </w:rPr>
        <w:t>Evans</w:t>
      </w:r>
      <w:proofErr w:type="spellEnd"/>
      <w:r w:rsidRPr="00006A07">
        <w:rPr>
          <w:i/>
          <w:iCs/>
          <w:lang w:val="bg-BG"/>
        </w:rPr>
        <w:t xml:space="preserve"> v. </w:t>
      </w:r>
      <w:proofErr w:type="spellStart"/>
      <w:r w:rsidRPr="00006A07">
        <w:rPr>
          <w:i/>
          <w:iCs/>
          <w:lang w:val="bg-BG"/>
        </w:rPr>
        <w:t>the</w:t>
      </w:r>
      <w:proofErr w:type="spellEnd"/>
      <w:r w:rsidRPr="00006A07">
        <w:rPr>
          <w:i/>
          <w:iCs/>
          <w:lang w:val="bg-BG"/>
        </w:rPr>
        <w:t xml:space="preserve"> </w:t>
      </w:r>
      <w:proofErr w:type="spellStart"/>
      <w:r w:rsidRPr="00006A07">
        <w:rPr>
          <w:i/>
          <w:iCs/>
          <w:lang w:val="bg-BG"/>
        </w:rPr>
        <w:t>United</w:t>
      </w:r>
      <w:proofErr w:type="spellEnd"/>
      <w:r w:rsidRPr="00006A07">
        <w:rPr>
          <w:i/>
          <w:iCs/>
          <w:lang w:val="bg-BG"/>
        </w:rPr>
        <w:t xml:space="preserve"> </w:t>
      </w:r>
      <w:proofErr w:type="spellStart"/>
      <w:r w:rsidRPr="00006A07">
        <w:rPr>
          <w:i/>
          <w:iCs/>
          <w:lang w:val="bg-BG"/>
        </w:rPr>
        <w:t>Kingdom</w:t>
      </w:r>
      <w:proofErr w:type="spellEnd"/>
      <w:r w:rsidRPr="00006A07">
        <w:rPr>
          <w:i/>
          <w:iCs/>
          <w:lang w:val="bg-BG"/>
        </w:rPr>
        <w:t xml:space="preserve"> </w:t>
      </w:r>
      <w:r w:rsidRPr="00006A07">
        <w:rPr>
          <w:lang w:val="bg-BG"/>
        </w:rPr>
        <w:t xml:space="preserve">[GC], </w:t>
      </w:r>
      <w:proofErr w:type="spellStart"/>
      <w:r w:rsidRPr="00006A07">
        <w:rPr>
          <w:lang w:val="bg-BG"/>
        </w:rPr>
        <w:t>no</w:t>
      </w:r>
      <w:proofErr w:type="spellEnd"/>
      <w:r w:rsidRPr="00006A07">
        <w:rPr>
          <w:lang w:val="bg-BG"/>
        </w:rPr>
        <w:t>. 6339/05, § 86, ECHR 2007</w:t>
      </w:r>
      <w:r w:rsidRPr="00006A07">
        <w:rPr>
          <w:lang w:val="bg-BG"/>
        </w:rPr>
        <w:noBreakHyphen/>
        <w:t>I). Важно е да се отбележи в тази връзка, че в настоящия случай въпросът очевидно е „на живот и смърт“ и че неговата значимост не може да бъде откроена в достатъчна степен.</w:t>
      </w:r>
    </w:p>
    <w:p w:rsidR="0095532B" w:rsidRPr="00006A07" w:rsidRDefault="0095532B" w:rsidP="0049322E">
      <w:pPr>
        <w:pStyle w:val="OpiPara"/>
        <w:rPr>
          <w:lang w:val="bg-BG" w:eastAsia="en-US"/>
        </w:rPr>
      </w:pPr>
      <w:r w:rsidRPr="00006A07">
        <w:rPr>
          <w:lang w:val="bg-BG"/>
        </w:rPr>
        <w:t xml:space="preserve">6.  Втората причина е свързана със съдържанието на решението по същество. Неблагоприятно стечение на обстоятелствата е, че в съвременния свят разработването на нови лекарствени продукти е комплексно усилие, което се сблъсква с научни, финансови и регулаторни препятствия и като правило, завършването му отнема много години. В резултат от това терминално болните пациенти често не разполагат с времето да изчакат пълното изпитване и разрешение на употребата на нови лекарства, които могат да им помогнат да облекчат или победят болестта си. Някои от Договарящите държави, както и други държави и Европейският съюз очевидно разбират този проблем и поради това са приели разпоредби за ранен достъп до експериментални продукти, които все още не са получили регулаторно одобрение (вж. параграфи 45, 49 </w:t>
      </w:r>
      <w:r w:rsidRPr="00006A07">
        <w:rPr>
          <w:lang w:val="bg-BG"/>
        </w:rPr>
        <w:noBreakHyphen/>
        <w:t xml:space="preserve"> 51 и 54 </w:t>
      </w:r>
      <w:r w:rsidRPr="00006A07">
        <w:rPr>
          <w:lang w:val="bg-BG"/>
        </w:rPr>
        <w:noBreakHyphen/>
        <w:t xml:space="preserve"> 58 от решението). Вярно е, че специфичният начин, по който този достъп е бил предоставен, е различен в различните държави. Изглежда обаче, че в много от тях той обхваща продукти, които не са получили регулаторно одобрение никъде и в този смисъл са действително нови и експериментални. Разработването на нови лекарствени продукти е област, която постоянно е под влиянието на научното развитие и напредъка в технологиите. Чрез отказването на всякакъв достъп на жалбоподателите – терминално болни пациенти – до тези разработки, българските власти на практика са игнорирали напълно техния много силен интерес да могат да опитат лечение, което, въпреки че включва приемането на допълнителна несигурност по отношение на риска, може да се окаже единствената оставаща възможност в опита им да спасят живота си.</w:t>
      </w:r>
    </w:p>
    <w:p w:rsidR="0095532B" w:rsidRPr="00006A07" w:rsidRDefault="0095532B" w:rsidP="0049322E">
      <w:pPr>
        <w:pStyle w:val="OpiPara"/>
        <w:rPr>
          <w:lang w:val="bg-BG" w:eastAsia="en-US"/>
        </w:rPr>
      </w:pPr>
      <w:r w:rsidRPr="00006A07">
        <w:rPr>
          <w:lang w:val="bg-BG"/>
        </w:rPr>
        <w:t xml:space="preserve">7.  Разбира се, аз съм напълно наясно, че разрешаването на твърде много изключения в системата за разрешаване на употребата на </w:t>
      </w:r>
      <w:r w:rsidRPr="00006A07">
        <w:rPr>
          <w:lang w:val="bg-BG" w:eastAsia="en-US"/>
        </w:rPr>
        <w:t xml:space="preserve">лекарствени продукти може да подкопае нейната функция да гарантира, че ще бъдат допускани за употреба само такива продукти, чието качество, безопасност и ефективност са убедително доказани. Аз обаче не мога да подмина – а за съжаление решението на мнозинството подминава този въпрос – фактът, че такива изключения вече </w:t>
      </w:r>
      <w:r w:rsidRPr="00006A07">
        <w:rPr>
          <w:lang w:val="bg-BG" w:eastAsia="en-US"/>
        </w:rPr>
        <w:lastRenderedPageBreak/>
        <w:t>съществуват и не изглежда да са поставили под заплаха функционирането на тази система както на национално, така и на по-високо ниво. Фактът, че няколко други Държави управляват такива механизми по отношение на продукти, които не са разрешени никъде по света, означава, че каквито и трудности да възникнат в тази връзка, те са управляеми.</w:t>
      </w:r>
    </w:p>
    <w:p w:rsidR="0095532B" w:rsidRPr="00006A07" w:rsidRDefault="0095532B" w:rsidP="0049322E">
      <w:pPr>
        <w:pStyle w:val="OpiPara"/>
        <w:rPr>
          <w:lang w:val="bg-BG"/>
        </w:rPr>
      </w:pPr>
      <w:r w:rsidRPr="00006A07">
        <w:rPr>
          <w:lang w:val="bg-BG"/>
        </w:rPr>
        <w:t>8.  Общественият интерес, посочен в параграф 122 от решението, може да бъде обслужен по полезен начин чрез по-подробно формулирани изисквания. Например приложимите разпоредби биха могли да изискват властите да се уверят, че потенциалните ползи от използването на неразрешен за употреба продукт оправдават потенциалните рискове от използването му и че рисковете, свързани с продукта, не са неразумни при конкретните обстоятелства и не надвишават рисковете, създадени от болестта, за която се твърди, че продуктът лекува. Те биха могли допълнително да настояват лекарите, които предлагат лечението на терминално болни пациенти с неразрешен за употреба продукт, да обясняват подробно известните и неизвестните рискове, така че да дадат възможност на тези пациенти да вземат действително информирани решения. Те биха могли да изискват също така употребата на неразрешени за употреба продукти да не възпрепятства клиничните изпитвания на тези продукти и да остане като последна мярка. Решението на мнозинството „си измива ръцете“ спрямо всички тези съображения, като използва предпазния клапан на „широката свобода на преценка“ (вж. параграф 125 от решението).</w:t>
      </w:r>
    </w:p>
    <w:p w:rsidR="0095532B" w:rsidRPr="00006A07" w:rsidRDefault="0095532B" w:rsidP="0049322E">
      <w:pPr>
        <w:pStyle w:val="OpiPara"/>
        <w:rPr>
          <w:lang w:val="bg-BG"/>
        </w:rPr>
      </w:pPr>
      <w:r w:rsidRPr="00006A07">
        <w:rPr>
          <w:lang w:val="bg-BG" w:eastAsia="en-US"/>
        </w:rPr>
        <w:t xml:space="preserve">9.  В обобщение, аз считам, че няма значими фактори от обществен интерес, които да са в противовес на много значимия – буквално жизненоважен – интерес на жалбоподателите да получат достъп до експериментални лекарствени продукти, които не са били разрешени за употреба в друга държава. Естествено, не може да се изисква от Държавата да предостави достъп до такива лекарства без регулаторна рамка. Тази рамка обаче трябва да позволява подходящо балансиране на упражняването на засегнатите интереси. В настоящия случай обаче няма данни, че такова проучване на интересите е било осъществено, и всъщност никъде в решението не се съдържа заключение, че Държавата е намерила справедлив баланс. Близките сходства в причините, изложени от директора на Изпълнителната агенция по лекарствата при отказа по всяко от заявленията на жалбоподателите, показва, че тези откази не са произтичали от </w:t>
      </w:r>
      <w:proofErr w:type="spellStart"/>
      <w:r w:rsidRPr="00006A07">
        <w:rPr>
          <w:lang w:val="bg-BG" w:eastAsia="en-US"/>
        </w:rPr>
        <w:t>относими</w:t>
      </w:r>
      <w:proofErr w:type="spellEnd"/>
      <w:r w:rsidRPr="00006A07">
        <w:rPr>
          <w:lang w:val="bg-BG" w:eastAsia="en-US"/>
        </w:rPr>
        <w:t xml:space="preserve"> към техния случай съображения, а са били основани изцяло на </w:t>
      </w:r>
      <w:proofErr w:type="spellStart"/>
      <w:r w:rsidRPr="00006A07">
        <w:rPr>
          <w:lang w:val="bg-BG" w:eastAsia="en-US"/>
        </w:rPr>
        <w:t>бланкетна</w:t>
      </w:r>
      <w:proofErr w:type="spellEnd"/>
      <w:r w:rsidRPr="00006A07">
        <w:rPr>
          <w:lang w:val="bg-BG" w:eastAsia="en-US"/>
        </w:rPr>
        <w:t xml:space="preserve"> забрана на </w:t>
      </w:r>
      <w:proofErr w:type="spellStart"/>
      <w:r w:rsidRPr="00006A07">
        <w:rPr>
          <w:lang w:val="bg-BG"/>
        </w:rPr>
        <w:t>палиативната</w:t>
      </w:r>
      <w:proofErr w:type="spellEnd"/>
      <w:r w:rsidRPr="00006A07">
        <w:rPr>
          <w:lang w:val="bg-BG"/>
        </w:rPr>
        <w:t xml:space="preserve"> употреба на продукти, които не са разрешени за употреба в други държави. По-специално</w:t>
      </w:r>
      <w:r>
        <w:rPr>
          <w:lang w:val="bg-BG"/>
        </w:rPr>
        <w:t>,</w:t>
      </w:r>
      <w:r w:rsidRPr="00006A07">
        <w:rPr>
          <w:lang w:val="bg-BG"/>
        </w:rPr>
        <w:t xml:space="preserve"> не е обърнато внимание на специалното и уязвимо положение на жалбоподателите и на </w:t>
      </w:r>
      <w:r w:rsidRPr="00006A07">
        <w:rPr>
          <w:lang w:val="bg-BG"/>
        </w:rPr>
        <w:lastRenderedPageBreak/>
        <w:t>свързаната с това нужда от зачитане и защита на тяхната физическа и психическа неприкосновеност.</w:t>
      </w:r>
    </w:p>
    <w:p w:rsidR="0095532B" w:rsidRPr="00006A07" w:rsidRDefault="0095532B" w:rsidP="0049322E">
      <w:pPr>
        <w:pStyle w:val="OpiPara"/>
        <w:rPr>
          <w:lang w:val="bg-BG"/>
        </w:rPr>
      </w:pPr>
      <w:r w:rsidRPr="00006A07">
        <w:rPr>
          <w:lang w:val="bg-BG"/>
        </w:rPr>
        <w:t>10.  С оглед на тези съображения, както вече беше посочено в  параграф 1 по-горе, аз считам, че в настоящия случай е налице нарушение на член 8 от Конвенцията и че в следствие на това е било ненужно разглеждането на оплакванията на жалбоподателите по членове 2 и 3.</w:t>
      </w:r>
      <w:bookmarkEnd w:id="0"/>
    </w:p>
    <w:sectPr w:rsidR="0095532B" w:rsidRPr="00006A07" w:rsidSect="00AB1F9E">
      <w:headerReference w:type="even" r:id="rId18"/>
      <w:headerReference w:type="default" r:id="rId19"/>
      <w:footerReference w:type="even" r:id="rId20"/>
      <w:footerReference w:type="default" r:id="rId21"/>
      <w:footnotePr>
        <w:numRestart w:val="eachPage"/>
      </w:footnotePr>
      <w:pgSz w:w="11906" w:h="16838" w:code="9"/>
      <w:pgMar w:top="2274" w:right="2274" w:bottom="2274" w:left="2274" w:header="1701" w:footer="708"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0656" w:rsidRDefault="008D0656">
      <w:r>
        <w:separator/>
      </w:r>
    </w:p>
  </w:endnote>
  <w:endnote w:type="continuationSeparator" w:id="0">
    <w:p w:rsidR="008D0656" w:rsidRDefault="008D0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32B" w:rsidRDefault="0095532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32B" w:rsidRDefault="00D2241D" w:rsidP="009F16B2">
    <w:pPr>
      <w:pStyle w:val="Footer"/>
      <w:jc w:val="center"/>
    </w:pPr>
    <w:r>
      <w:rPr>
        <w:noProof/>
        <w:sz w:val="4"/>
        <w:szCs w:val="4"/>
        <w:lang w:val="en-US" w:eastAsia="en-US"/>
      </w:rPr>
      <w:drawing>
        <wp:inline distT="0" distB="0" distL="0" distR="0">
          <wp:extent cx="664210" cy="405130"/>
          <wp:effectExtent l="0" t="0" r="0" b="0"/>
          <wp:docPr id="2" name="Picture 10" descr="DocFooter-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ocFooter-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210" cy="40513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32B" w:rsidRDefault="0095532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32B" w:rsidRDefault="0095532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32B" w:rsidRDefault="0095532B">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32B" w:rsidRDefault="0095532B">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32B" w:rsidRDefault="009553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0656" w:rsidRDefault="008D0656">
      <w:r>
        <w:separator/>
      </w:r>
    </w:p>
  </w:footnote>
  <w:footnote w:type="continuationSeparator" w:id="0">
    <w:p w:rsidR="008D0656" w:rsidRDefault="008D06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32B" w:rsidRDefault="0095532B">
    <w:pPr>
      <w:pStyle w:val="JuHeader"/>
    </w:pPr>
    <w:r>
      <w:rPr>
        <w:rStyle w:val="PageNumber"/>
      </w:rPr>
      <w:fldChar w:fldCharType="begin"/>
    </w:r>
    <w:r>
      <w:rPr>
        <w:rStyle w:val="PageNumber"/>
      </w:rPr>
      <w:instrText xml:space="preserve"> PAGE </w:instrText>
    </w:r>
    <w:r>
      <w:rPr>
        <w:rStyle w:val="PageNumber"/>
      </w:rPr>
      <w:fldChar w:fldCharType="separate"/>
    </w:r>
    <w:r w:rsidR="00625871">
      <w:rPr>
        <w:rStyle w:val="PageNumber"/>
        <w:noProof/>
      </w:rPr>
      <w:t>2</w:t>
    </w:r>
    <w:r>
      <w:rPr>
        <w:rStyle w:val="PageNumber"/>
      </w:rPr>
      <w:fldChar w:fldCharType="end"/>
    </w:r>
    <w:r>
      <w:tab/>
    </w:r>
    <w:r>
      <w:rPr>
        <w:lang w:val="bg-BG"/>
      </w:rPr>
      <w:t xml:space="preserve">РЕШЕНИЕ ПО </w:t>
    </w:r>
    <w:r w:rsidRPr="00DE299E">
      <w:rPr>
        <w:lang w:val="bg-BG"/>
      </w:rPr>
      <w:t>ДЕЛО</w:t>
    </w:r>
    <w:r>
      <w:rPr>
        <w:lang w:val="bg-BG"/>
      </w:rPr>
      <w:t>ТО</w:t>
    </w:r>
    <w:r w:rsidRPr="00DE299E">
      <w:rPr>
        <w:lang w:val="bg-BG"/>
      </w:rPr>
      <w:t xml:space="preserve"> ХРИСТОЗОВ И ДРУГИ срещу БЪЛГАРИЯ</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32B" w:rsidRPr="00C00F0F" w:rsidRDefault="00D2241D" w:rsidP="00E20DFC">
    <w:pPr>
      <w:pStyle w:val="Header"/>
      <w:jc w:val="center"/>
      <w:rPr>
        <w:sz w:val="4"/>
        <w:szCs w:val="4"/>
      </w:rPr>
    </w:pPr>
    <w:r>
      <w:rPr>
        <w:noProof/>
        <w:sz w:val="4"/>
        <w:szCs w:val="4"/>
        <w:lang w:val="en-US" w:eastAsia="en-US"/>
      </w:rPr>
      <w:drawing>
        <wp:inline distT="0" distB="0" distL="0" distR="0">
          <wp:extent cx="4097655" cy="2087880"/>
          <wp:effectExtent l="0" t="0" r="0" b="0"/>
          <wp:docPr id="1" name="Picture 9" descr="TranspDocHeaderBig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ranspDocHeaderBig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97655" cy="2087880"/>
                  </a:xfrm>
                  <a:prstGeom prst="rect">
                    <a:avLst/>
                  </a:prstGeom>
                  <a:noFill/>
                  <a:ln>
                    <a:noFill/>
                  </a:ln>
                </pic:spPr>
              </pic:pic>
            </a:graphicData>
          </a:graphic>
        </wp:inline>
      </w:drawing>
    </w:r>
  </w:p>
  <w:p w:rsidR="0095532B" w:rsidRDefault="0095532B" w:rsidP="00E20DF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32B" w:rsidRDefault="0095532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32B" w:rsidRPr="00450B68" w:rsidRDefault="0095532B">
    <w:pPr>
      <w:pStyle w:val="JuHeader"/>
      <w:rPr>
        <w:lang w:val="ru-RU"/>
      </w:rPr>
    </w:pPr>
    <w:r>
      <w:rPr>
        <w:rStyle w:val="PageNumber"/>
      </w:rPr>
      <w:fldChar w:fldCharType="begin"/>
    </w:r>
    <w:r>
      <w:rPr>
        <w:rStyle w:val="PageNumber"/>
      </w:rPr>
      <w:instrText>PAGE</w:instrText>
    </w:r>
    <w:r>
      <w:rPr>
        <w:rStyle w:val="PageNumber"/>
      </w:rPr>
      <w:fldChar w:fldCharType="separate"/>
    </w:r>
    <w:r w:rsidR="00625871">
      <w:rPr>
        <w:rStyle w:val="PageNumber"/>
        <w:noProof/>
      </w:rPr>
      <w:t>2</w:t>
    </w:r>
    <w:r>
      <w:rPr>
        <w:rStyle w:val="PageNumber"/>
      </w:rPr>
      <w:fldChar w:fldCharType="end"/>
    </w:r>
    <w:r w:rsidRPr="00450B68">
      <w:rPr>
        <w:lang w:val="ru-RU"/>
      </w:rPr>
      <w:tab/>
    </w:r>
    <w:r>
      <w:rPr>
        <w:lang w:val="bg-BG"/>
      </w:rPr>
      <w:t xml:space="preserve">РЕШЕНИЕ ПО </w:t>
    </w:r>
    <w:r w:rsidRPr="00DE299E">
      <w:rPr>
        <w:lang w:val="bg-BG"/>
      </w:rPr>
      <w:t>ДЕЛО</w:t>
    </w:r>
    <w:r>
      <w:rPr>
        <w:lang w:val="bg-BG"/>
      </w:rPr>
      <w:t>ТО</w:t>
    </w:r>
    <w:r w:rsidRPr="00DE299E">
      <w:rPr>
        <w:lang w:val="bg-BG"/>
      </w:rPr>
      <w:t xml:space="preserve"> ХРИСТОЗОВ И ДРУГИ срещу БЪЛГАРИЯ</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32B" w:rsidRPr="00450B68" w:rsidRDefault="0095532B">
    <w:pPr>
      <w:pStyle w:val="JuHeader"/>
      <w:rPr>
        <w:lang w:val="ru-RU"/>
      </w:rPr>
    </w:pPr>
    <w:r>
      <w:tab/>
    </w:r>
    <w:r>
      <w:rPr>
        <w:lang w:val="bg-BG"/>
      </w:rPr>
      <w:t xml:space="preserve">РЕШЕНИЕ ПО </w:t>
    </w:r>
    <w:r w:rsidRPr="00DE299E">
      <w:rPr>
        <w:lang w:val="bg-BG"/>
      </w:rPr>
      <w:t>ДЕЛО</w:t>
    </w:r>
    <w:r>
      <w:rPr>
        <w:lang w:val="bg-BG"/>
      </w:rPr>
      <w:t>ТО</w:t>
    </w:r>
    <w:r w:rsidRPr="00DE299E">
      <w:rPr>
        <w:lang w:val="bg-BG"/>
      </w:rPr>
      <w:t xml:space="preserve"> ХРИСТОЗОВ И ДРУГИ срещу БЪЛГАРИЯ</w:t>
    </w:r>
    <w:r w:rsidRPr="00450B68">
      <w:rPr>
        <w:lang w:val="ru-RU"/>
      </w:rPr>
      <w:tab/>
    </w:r>
    <w:r>
      <w:rPr>
        <w:rStyle w:val="PageNumber"/>
      </w:rPr>
      <w:fldChar w:fldCharType="begin"/>
    </w:r>
    <w:r>
      <w:rPr>
        <w:rStyle w:val="PageNumber"/>
      </w:rPr>
      <w:instrText>PAGE</w:instrText>
    </w:r>
    <w:r>
      <w:rPr>
        <w:rStyle w:val="PageNumber"/>
      </w:rPr>
      <w:fldChar w:fldCharType="separate"/>
    </w:r>
    <w:r w:rsidR="00625871">
      <w:rPr>
        <w:rStyle w:val="PageNumber"/>
        <w:noProof/>
      </w:rPr>
      <w:t>19</w:t>
    </w:r>
    <w:r>
      <w:rPr>
        <w:rStyle w:val="PageNumber"/>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32B" w:rsidRPr="00360C86" w:rsidRDefault="0095532B">
    <w:pPr>
      <w:pStyle w:val="JuHeader"/>
      <w:rPr>
        <w:lang w:val="bg-BG"/>
      </w:rPr>
    </w:pPr>
    <w:r>
      <w:rPr>
        <w:rStyle w:val="PageNumber"/>
      </w:rPr>
      <w:fldChar w:fldCharType="begin"/>
    </w:r>
    <w:r>
      <w:rPr>
        <w:rStyle w:val="PageNumber"/>
      </w:rPr>
      <w:instrText xml:space="preserve"> PAGE </w:instrText>
    </w:r>
    <w:r>
      <w:rPr>
        <w:rStyle w:val="PageNumber"/>
      </w:rPr>
      <w:fldChar w:fldCharType="separate"/>
    </w:r>
    <w:r w:rsidR="00625871">
      <w:rPr>
        <w:rStyle w:val="PageNumber"/>
        <w:noProof/>
      </w:rPr>
      <w:t>56</w:t>
    </w:r>
    <w:r>
      <w:rPr>
        <w:rStyle w:val="PageNumber"/>
      </w:rPr>
      <w:fldChar w:fldCharType="end"/>
    </w:r>
    <w:r>
      <w:tab/>
    </w:r>
    <w:r>
      <w:rPr>
        <w:lang w:val="bg-BG"/>
      </w:rPr>
      <w:t xml:space="preserve">РЕШЕНИЕ ПО </w:t>
    </w:r>
    <w:r w:rsidRPr="00DE299E">
      <w:rPr>
        <w:lang w:val="bg-BG"/>
      </w:rPr>
      <w:t>ДЕЛО</w:t>
    </w:r>
    <w:r>
      <w:rPr>
        <w:lang w:val="bg-BG"/>
      </w:rPr>
      <w:t>ТО</w:t>
    </w:r>
    <w:r w:rsidRPr="00DE299E">
      <w:rPr>
        <w:lang w:val="bg-BG"/>
      </w:rPr>
      <w:t xml:space="preserve"> ХРИСТОЗОВ И ДРУГИ срещу БЪЛГАРИЯ</w:t>
    </w:r>
    <w:r>
      <w:rPr>
        <w:lang w:val="bg-BG"/>
      </w:rPr>
      <w:t xml:space="preserve"> </w:t>
    </w:r>
    <w:r>
      <w:t xml:space="preserve">– </w:t>
    </w:r>
    <w:r>
      <w:rPr>
        <w:lang w:val="bg-BG"/>
      </w:rPr>
      <w:t>ОСОБЕНИ МНЕНИЯ</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32B" w:rsidRDefault="0095532B">
    <w:pPr>
      <w:pStyle w:val="JuHeader"/>
    </w:pPr>
    <w:r>
      <w:tab/>
    </w:r>
    <w:r>
      <w:rPr>
        <w:lang w:val="bg-BG"/>
      </w:rPr>
      <w:t xml:space="preserve">РЕШЕНИЕ ПО </w:t>
    </w:r>
    <w:r w:rsidRPr="00DE299E">
      <w:rPr>
        <w:lang w:val="bg-BG"/>
      </w:rPr>
      <w:t>ДЕЛО</w:t>
    </w:r>
    <w:r>
      <w:rPr>
        <w:lang w:val="bg-BG"/>
      </w:rPr>
      <w:t>ТО</w:t>
    </w:r>
    <w:r w:rsidRPr="00DE299E">
      <w:rPr>
        <w:lang w:val="bg-BG"/>
      </w:rPr>
      <w:t xml:space="preserve"> ХРИСТОЗОВ И ДРУГИ срещу БЪЛГАРИЯ</w:t>
    </w:r>
    <w:r>
      <w:rPr>
        <w:lang w:val="bg-BG"/>
      </w:rPr>
      <w:t xml:space="preserve"> </w:t>
    </w:r>
    <w:r>
      <w:t xml:space="preserve">– </w:t>
    </w:r>
    <w:r>
      <w:rPr>
        <w:lang w:val="bg-BG"/>
      </w:rPr>
      <w:t>ОСОБЕНИ МНЕНИЯ</w:t>
    </w:r>
    <w:r>
      <w:rPr>
        <w:lang w:val="bg-BG"/>
      </w:rPr>
      <w:tab/>
    </w:r>
    <w:r>
      <w:rPr>
        <w:lang w:val="bg-BG"/>
      </w:rPr>
      <w:tab/>
    </w:r>
    <w:r>
      <w:rPr>
        <w:rStyle w:val="PageNumber"/>
      </w:rPr>
      <w:fldChar w:fldCharType="begin"/>
    </w:r>
    <w:r>
      <w:rPr>
        <w:rStyle w:val="PageNumber"/>
      </w:rPr>
      <w:instrText xml:space="preserve"> PAGE </w:instrText>
    </w:r>
    <w:r>
      <w:rPr>
        <w:rStyle w:val="PageNumber"/>
      </w:rPr>
      <w:fldChar w:fldCharType="separate"/>
    </w:r>
    <w:r w:rsidR="00625871">
      <w:rPr>
        <w:rStyle w:val="PageNumber"/>
        <w:noProof/>
      </w:rPr>
      <w:t>57</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EE8A85E"/>
    <w:lvl w:ilvl="0">
      <w:start w:val="1"/>
      <w:numFmt w:val="bullet"/>
      <w:lvlText w:val=""/>
      <w:lvlJc w:val="left"/>
      <w:pPr>
        <w:tabs>
          <w:tab w:val="num" w:pos="360"/>
        </w:tabs>
        <w:ind w:left="360" w:hanging="360"/>
      </w:pPr>
      <w:rPr>
        <w:rFonts w:ascii="Symbol" w:hAnsi="Symbol" w:hint="default"/>
      </w:rPr>
    </w:lvl>
  </w:abstractNum>
  <w:abstractNum w:abstractNumId="1">
    <w:nsid w:val="52775D44"/>
    <w:multiLevelType w:val="singleLevel"/>
    <w:tmpl w:val="6C10F8C8"/>
    <w:lvl w:ilvl="0">
      <w:start w:val="1"/>
      <w:numFmt w:val="decimal"/>
      <w:lvlText w:val="%1."/>
      <w:legacy w:legacy="1" w:legacySpace="0" w:legacyIndent="432"/>
      <w:lvlJc w:val="left"/>
      <w:rPr>
        <w:rFonts w:ascii="Times New Roman" w:hAnsi="Times New Roman" w:cs="Times New Roman" w:hint="default"/>
      </w:rPr>
    </w:lvl>
  </w:abstractNum>
  <w:abstractNum w:abstractNumId="2">
    <w:nsid w:val="67FD1241"/>
    <w:multiLevelType w:val="hybridMultilevel"/>
    <w:tmpl w:val="F6D86CC2"/>
    <w:lvl w:ilvl="0" w:tplc="E4205412">
      <w:start w:val="1"/>
      <w:numFmt w:val="bullet"/>
      <w:pStyle w:val="ListBullet"/>
      <w:lvlText w:val=""/>
      <w:lvlJc w:val="left"/>
      <w:pPr>
        <w:tabs>
          <w:tab w:val="num" w:pos="851"/>
        </w:tabs>
        <w:ind w:left="568"/>
      </w:pPr>
      <w:rPr>
        <w:rFonts w:ascii="Wingdings" w:hAnsi="Wingdings" w:hint="default"/>
        <w:color w:val="808080"/>
        <w:sz w:val="16"/>
      </w:rPr>
    </w:lvl>
    <w:lvl w:ilvl="1" w:tplc="08090003">
      <w:start w:val="1"/>
      <w:numFmt w:val="bullet"/>
      <w:lvlText w:val="o"/>
      <w:lvlJc w:val="left"/>
      <w:pPr>
        <w:tabs>
          <w:tab w:val="num" w:pos="1724"/>
        </w:tabs>
        <w:ind w:left="1724" w:hanging="360"/>
      </w:pPr>
      <w:rPr>
        <w:rFonts w:ascii="Courier New" w:hAnsi="Courier New" w:hint="default"/>
      </w:rPr>
    </w:lvl>
    <w:lvl w:ilvl="2" w:tplc="08090005">
      <w:start w:val="1"/>
      <w:numFmt w:val="bullet"/>
      <w:lvlText w:val=""/>
      <w:lvlJc w:val="left"/>
      <w:pPr>
        <w:tabs>
          <w:tab w:val="num" w:pos="2444"/>
        </w:tabs>
        <w:ind w:left="2444" w:hanging="360"/>
      </w:pPr>
      <w:rPr>
        <w:rFonts w:ascii="Wingdings" w:hAnsi="Wingdings" w:hint="default"/>
      </w:rPr>
    </w:lvl>
    <w:lvl w:ilvl="3" w:tplc="08090001">
      <w:start w:val="1"/>
      <w:numFmt w:val="bullet"/>
      <w:lvlText w:val=""/>
      <w:lvlJc w:val="left"/>
      <w:pPr>
        <w:tabs>
          <w:tab w:val="num" w:pos="3164"/>
        </w:tabs>
        <w:ind w:left="3164" w:hanging="360"/>
      </w:pPr>
      <w:rPr>
        <w:rFonts w:ascii="Symbol" w:hAnsi="Symbol" w:hint="default"/>
      </w:rPr>
    </w:lvl>
    <w:lvl w:ilvl="4" w:tplc="08090003">
      <w:start w:val="1"/>
      <w:numFmt w:val="bullet"/>
      <w:lvlText w:val="o"/>
      <w:lvlJc w:val="left"/>
      <w:pPr>
        <w:tabs>
          <w:tab w:val="num" w:pos="3884"/>
        </w:tabs>
        <w:ind w:left="3884" w:hanging="360"/>
      </w:pPr>
      <w:rPr>
        <w:rFonts w:ascii="Courier New" w:hAnsi="Courier New" w:hint="default"/>
      </w:rPr>
    </w:lvl>
    <w:lvl w:ilvl="5" w:tplc="08090005">
      <w:start w:val="1"/>
      <w:numFmt w:val="bullet"/>
      <w:lvlText w:val=""/>
      <w:lvlJc w:val="left"/>
      <w:pPr>
        <w:tabs>
          <w:tab w:val="num" w:pos="4604"/>
        </w:tabs>
        <w:ind w:left="4604" w:hanging="360"/>
      </w:pPr>
      <w:rPr>
        <w:rFonts w:ascii="Wingdings" w:hAnsi="Wingdings" w:hint="default"/>
      </w:rPr>
    </w:lvl>
    <w:lvl w:ilvl="6" w:tplc="08090001">
      <w:start w:val="1"/>
      <w:numFmt w:val="bullet"/>
      <w:lvlText w:val=""/>
      <w:lvlJc w:val="left"/>
      <w:pPr>
        <w:tabs>
          <w:tab w:val="num" w:pos="5324"/>
        </w:tabs>
        <w:ind w:left="5324" w:hanging="360"/>
      </w:pPr>
      <w:rPr>
        <w:rFonts w:ascii="Symbol" w:hAnsi="Symbol" w:hint="default"/>
      </w:rPr>
    </w:lvl>
    <w:lvl w:ilvl="7" w:tplc="08090003">
      <w:start w:val="1"/>
      <w:numFmt w:val="bullet"/>
      <w:lvlText w:val="o"/>
      <w:lvlJc w:val="left"/>
      <w:pPr>
        <w:tabs>
          <w:tab w:val="num" w:pos="6044"/>
        </w:tabs>
        <w:ind w:left="6044" w:hanging="360"/>
      </w:pPr>
      <w:rPr>
        <w:rFonts w:ascii="Courier New" w:hAnsi="Courier New" w:hint="default"/>
      </w:rPr>
    </w:lvl>
    <w:lvl w:ilvl="8" w:tplc="08090005">
      <w:start w:val="1"/>
      <w:numFmt w:val="bullet"/>
      <w:lvlText w:val=""/>
      <w:lvlJc w:val="left"/>
      <w:pPr>
        <w:tabs>
          <w:tab w:val="num" w:pos="6764"/>
        </w:tabs>
        <w:ind w:left="6764" w:hanging="360"/>
      </w:pPr>
      <w:rPr>
        <w:rFonts w:ascii="Wingdings" w:hAnsi="Wingdings" w:hint="default"/>
      </w:rPr>
    </w:lvl>
  </w:abstractNum>
  <w:abstractNum w:abstractNumId="3">
    <w:nsid w:val="7BBE6CBD"/>
    <w:multiLevelType w:val="hybridMultilevel"/>
    <w:tmpl w:val="5B122094"/>
    <w:lvl w:ilvl="0" w:tplc="4FDAD2AA">
      <w:start w:val="1"/>
      <w:numFmt w:val="decimal"/>
      <w:lvlText w:val="%1."/>
      <w:lvlJc w:val="left"/>
      <w:pPr>
        <w:tabs>
          <w:tab w:val="num" w:pos="720"/>
        </w:tabs>
        <w:ind w:left="720" w:hanging="360"/>
      </w:pPr>
      <w:rPr>
        <w:rFonts w:ascii="Cambria" w:hAnsi="Cambria" w:cs="Cambria" w:hint="default"/>
        <w:b/>
        <w:bCs/>
        <w:i w:val="0"/>
        <w:iCs w:val="0"/>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2"/>
  </w:num>
  <w:num w:numId="19">
    <w:abstractNumId w:val="3"/>
  </w:num>
  <w:num w:numId="20">
    <w:abstractNumId w:val="3"/>
  </w:num>
  <w:num w:numId="21">
    <w:abstractNumId w:val="3"/>
  </w:num>
  <w:num w:numId="22">
    <w:abstractNumId w:val="3"/>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embedSystemFonts/>
  <w:proofState w:spelling="clean" w:grammar="clean"/>
  <w:defaultTabStop w:val="706"/>
  <w:hyphenationZone w:val="425"/>
  <w:doNotHyphenateCaps/>
  <w:evenAndOddHeaders/>
  <w:drawingGridHorizontalSpacing w:val="120"/>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pNatAutre" w:val="0"/>
    <w:docVar w:name="DocVarPREMATURE" w:val="0"/>
    <w:docVar w:name="EMM" w:val="0"/>
    <w:docVar w:name="ETRANSMISSION" w:val=" "/>
    <w:docVar w:name="L4_1Annex" w:val="0"/>
    <w:docVar w:name="L4_1Anonymity" w:val="0"/>
    <w:docVar w:name="NBEMMDOC" w:val="0"/>
    <w:docVar w:name="SignForeName" w:val="0"/>
  </w:docVars>
  <w:rsids>
    <w:rsidRoot w:val="00944E64"/>
    <w:rsid w:val="0000019D"/>
    <w:rsid w:val="00001368"/>
    <w:rsid w:val="00001AC7"/>
    <w:rsid w:val="00001CC5"/>
    <w:rsid w:val="00002074"/>
    <w:rsid w:val="000027CD"/>
    <w:rsid w:val="00002BB3"/>
    <w:rsid w:val="00002DD1"/>
    <w:rsid w:val="00002E58"/>
    <w:rsid w:val="00003354"/>
    <w:rsid w:val="0000341A"/>
    <w:rsid w:val="0000397E"/>
    <w:rsid w:val="00003A70"/>
    <w:rsid w:val="000042D1"/>
    <w:rsid w:val="00004C8C"/>
    <w:rsid w:val="00004CD6"/>
    <w:rsid w:val="00004DE0"/>
    <w:rsid w:val="00004E87"/>
    <w:rsid w:val="00005626"/>
    <w:rsid w:val="00006345"/>
    <w:rsid w:val="00006A07"/>
    <w:rsid w:val="00006BDC"/>
    <w:rsid w:val="00006D0B"/>
    <w:rsid w:val="00006EEB"/>
    <w:rsid w:val="00007324"/>
    <w:rsid w:val="000076FB"/>
    <w:rsid w:val="00010085"/>
    <w:rsid w:val="00011538"/>
    <w:rsid w:val="00011666"/>
    <w:rsid w:val="000119A2"/>
    <w:rsid w:val="000126D4"/>
    <w:rsid w:val="00012EA0"/>
    <w:rsid w:val="00013894"/>
    <w:rsid w:val="00013CD8"/>
    <w:rsid w:val="00013FE7"/>
    <w:rsid w:val="000140F6"/>
    <w:rsid w:val="000141B1"/>
    <w:rsid w:val="000145AA"/>
    <w:rsid w:val="00015376"/>
    <w:rsid w:val="0001568D"/>
    <w:rsid w:val="0001590C"/>
    <w:rsid w:val="000163A8"/>
    <w:rsid w:val="00016E3B"/>
    <w:rsid w:val="00016F7E"/>
    <w:rsid w:val="000172B1"/>
    <w:rsid w:val="00017EBD"/>
    <w:rsid w:val="00020720"/>
    <w:rsid w:val="00020F9F"/>
    <w:rsid w:val="0002107D"/>
    <w:rsid w:val="00022624"/>
    <w:rsid w:val="000227C3"/>
    <w:rsid w:val="000243A8"/>
    <w:rsid w:val="000244B5"/>
    <w:rsid w:val="00025350"/>
    <w:rsid w:val="00025BA2"/>
    <w:rsid w:val="000260C6"/>
    <w:rsid w:val="00026752"/>
    <w:rsid w:val="00027B17"/>
    <w:rsid w:val="00027F6E"/>
    <w:rsid w:val="00030558"/>
    <w:rsid w:val="00030836"/>
    <w:rsid w:val="00030FB1"/>
    <w:rsid w:val="00031077"/>
    <w:rsid w:val="000313BB"/>
    <w:rsid w:val="000317E0"/>
    <w:rsid w:val="00032F2F"/>
    <w:rsid w:val="000330F9"/>
    <w:rsid w:val="00033160"/>
    <w:rsid w:val="00033C6C"/>
    <w:rsid w:val="00033D9E"/>
    <w:rsid w:val="00033FD2"/>
    <w:rsid w:val="000359C3"/>
    <w:rsid w:val="00035BB4"/>
    <w:rsid w:val="000360CD"/>
    <w:rsid w:val="0003679E"/>
    <w:rsid w:val="00036F53"/>
    <w:rsid w:val="0003713F"/>
    <w:rsid w:val="00037F1B"/>
    <w:rsid w:val="000407FD"/>
    <w:rsid w:val="00040AB6"/>
    <w:rsid w:val="00040BA1"/>
    <w:rsid w:val="00040F00"/>
    <w:rsid w:val="000414FF"/>
    <w:rsid w:val="00041571"/>
    <w:rsid w:val="00041BC5"/>
    <w:rsid w:val="00042692"/>
    <w:rsid w:val="000426B3"/>
    <w:rsid w:val="00042867"/>
    <w:rsid w:val="00042DE6"/>
    <w:rsid w:val="00043407"/>
    <w:rsid w:val="0004367D"/>
    <w:rsid w:val="000438CD"/>
    <w:rsid w:val="00043B51"/>
    <w:rsid w:val="00043BEA"/>
    <w:rsid w:val="00043D06"/>
    <w:rsid w:val="00043EB6"/>
    <w:rsid w:val="000440E3"/>
    <w:rsid w:val="000442FD"/>
    <w:rsid w:val="00044342"/>
    <w:rsid w:val="00044F03"/>
    <w:rsid w:val="00045493"/>
    <w:rsid w:val="000456BA"/>
    <w:rsid w:val="00045945"/>
    <w:rsid w:val="00045BAA"/>
    <w:rsid w:val="00045F94"/>
    <w:rsid w:val="00046131"/>
    <w:rsid w:val="000461C1"/>
    <w:rsid w:val="00046CA1"/>
    <w:rsid w:val="00046DEE"/>
    <w:rsid w:val="00047AB6"/>
    <w:rsid w:val="00047F42"/>
    <w:rsid w:val="00050089"/>
    <w:rsid w:val="000500B0"/>
    <w:rsid w:val="00050665"/>
    <w:rsid w:val="00050C9B"/>
    <w:rsid w:val="00050CD9"/>
    <w:rsid w:val="00050FB8"/>
    <w:rsid w:val="00051025"/>
    <w:rsid w:val="000512CA"/>
    <w:rsid w:val="0005151C"/>
    <w:rsid w:val="000515DA"/>
    <w:rsid w:val="0005160A"/>
    <w:rsid w:val="00051A6E"/>
    <w:rsid w:val="00051F6A"/>
    <w:rsid w:val="0005229D"/>
    <w:rsid w:val="000525E8"/>
    <w:rsid w:val="00052FE7"/>
    <w:rsid w:val="000530BE"/>
    <w:rsid w:val="00053D08"/>
    <w:rsid w:val="000543CD"/>
    <w:rsid w:val="00054656"/>
    <w:rsid w:val="00054CE7"/>
    <w:rsid w:val="0005516A"/>
    <w:rsid w:val="0005522C"/>
    <w:rsid w:val="00055AC1"/>
    <w:rsid w:val="00055DC1"/>
    <w:rsid w:val="00056918"/>
    <w:rsid w:val="00056BEF"/>
    <w:rsid w:val="00057BF8"/>
    <w:rsid w:val="00057C3A"/>
    <w:rsid w:val="000603BB"/>
    <w:rsid w:val="000604DC"/>
    <w:rsid w:val="0006119F"/>
    <w:rsid w:val="00061A5F"/>
    <w:rsid w:val="00061BDC"/>
    <w:rsid w:val="000622C5"/>
    <w:rsid w:val="000628B1"/>
    <w:rsid w:val="00062B08"/>
    <w:rsid w:val="00063860"/>
    <w:rsid w:val="0006406F"/>
    <w:rsid w:val="000648F8"/>
    <w:rsid w:val="00064DE5"/>
    <w:rsid w:val="00064FBB"/>
    <w:rsid w:val="000653E4"/>
    <w:rsid w:val="00065539"/>
    <w:rsid w:val="0006591B"/>
    <w:rsid w:val="00065F0F"/>
    <w:rsid w:val="00066106"/>
    <w:rsid w:val="0006691F"/>
    <w:rsid w:val="00066C2E"/>
    <w:rsid w:val="00067092"/>
    <w:rsid w:val="00067120"/>
    <w:rsid w:val="00067281"/>
    <w:rsid w:val="000672E9"/>
    <w:rsid w:val="000674EE"/>
    <w:rsid w:val="00067E2C"/>
    <w:rsid w:val="00067FF6"/>
    <w:rsid w:val="000700CC"/>
    <w:rsid w:val="00070D31"/>
    <w:rsid w:val="000716A2"/>
    <w:rsid w:val="00071B10"/>
    <w:rsid w:val="000724AD"/>
    <w:rsid w:val="000726F6"/>
    <w:rsid w:val="00072A43"/>
    <w:rsid w:val="000738F3"/>
    <w:rsid w:val="00074233"/>
    <w:rsid w:val="00074368"/>
    <w:rsid w:val="000744C5"/>
    <w:rsid w:val="00075904"/>
    <w:rsid w:val="00076128"/>
    <w:rsid w:val="000761A3"/>
    <w:rsid w:val="00076A26"/>
    <w:rsid w:val="00076A67"/>
    <w:rsid w:val="000807A4"/>
    <w:rsid w:val="00080B46"/>
    <w:rsid w:val="000812F4"/>
    <w:rsid w:val="00081428"/>
    <w:rsid w:val="00081A57"/>
    <w:rsid w:val="00081FC9"/>
    <w:rsid w:val="000828A2"/>
    <w:rsid w:val="000836DF"/>
    <w:rsid w:val="00083A42"/>
    <w:rsid w:val="00083F95"/>
    <w:rsid w:val="000840EC"/>
    <w:rsid w:val="000843F5"/>
    <w:rsid w:val="00084ECD"/>
    <w:rsid w:val="00084FC4"/>
    <w:rsid w:val="00085166"/>
    <w:rsid w:val="00085262"/>
    <w:rsid w:val="00085837"/>
    <w:rsid w:val="00085B3A"/>
    <w:rsid w:val="00085B83"/>
    <w:rsid w:val="00085BD5"/>
    <w:rsid w:val="00085CF4"/>
    <w:rsid w:val="000862A1"/>
    <w:rsid w:val="000867C6"/>
    <w:rsid w:val="00086A5C"/>
    <w:rsid w:val="00087CB8"/>
    <w:rsid w:val="00087CBC"/>
    <w:rsid w:val="00087D3C"/>
    <w:rsid w:val="00087F24"/>
    <w:rsid w:val="00090584"/>
    <w:rsid w:val="00090977"/>
    <w:rsid w:val="00090C82"/>
    <w:rsid w:val="00091144"/>
    <w:rsid w:val="00091EAF"/>
    <w:rsid w:val="000926CF"/>
    <w:rsid w:val="00092BA3"/>
    <w:rsid w:val="000931D8"/>
    <w:rsid w:val="00093323"/>
    <w:rsid w:val="00093655"/>
    <w:rsid w:val="00093D5B"/>
    <w:rsid w:val="00093F03"/>
    <w:rsid w:val="0009409F"/>
    <w:rsid w:val="00094163"/>
    <w:rsid w:val="00094367"/>
    <w:rsid w:val="00096EC3"/>
    <w:rsid w:val="00097011"/>
    <w:rsid w:val="00097A4B"/>
    <w:rsid w:val="000A12A6"/>
    <w:rsid w:val="000A2858"/>
    <w:rsid w:val="000A3069"/>
    <w:rsid w:val="000A30C4"/>
    <w:rsid w:val="000A35DC"/>
    <w:rsid w:val="000A3BFF"/>
    <w:rsid w:val="000A4325"/>
    <w:rsid w:val="000A64CB"/>
    <w:rsid w:val="000A750E"/>
    <w:rsid w:val="000A79BC"/>
    <w:rsid w:val="000A7B0F"/>
    <w:rsid w:val="000A7F81"/>
    <w:rsid w:val="000A7FB5"/>
    <w:rsid w:val="000B0378"/>
    <w:rsid w:val="000B0DC8"/>
    <w:rsid w:val="000B108D"/>
    <w:rsid w:val="000B12FC"/>
    <w:rsid w:val="000B140E"/>
    <w:rsid w:val="000B17BC"/>
    <w:rsid w:val="000B1FD2"/>
    <w:rsid w:val="000B23E4"/>
    <w:rsid w:val="000B3023"/>
    <w:rsid w:val="000B327B"/>
    <w:rsid w:val="000B433D"/>
    <w:rsid w:val="000B4378"/>
    <w:rsid w:val="000B44D5"/>
    <w:rsid w:val="000B49B6"/>
    <w:rsid w:val="000B4DFF"/>
    <w:rsid w:val="000B659C"/>
    <w:rsid w:val="000B6A41"/>
    <w:rsid w:val="000B6CFB"/>
    <w:rsid w:val="000B7115"/>
    <w:rsid w:val="000B7429"/>
    <w:rsid w:val="000C0038"/>
    <w:rsid w:val="000C0C02"/>
    <w:rsid w:val="000C1378"/>
    <w:rsid w:val="000C19EC"/>
    <w:rsid w:val="000C1A89"/>
    <w:rsid w:val="000C2B41"/>
    <w:rsid w:val="000C2B76"/>
    <w:rsid w:val="000C36BF"/>
    <w:rsid w:val="000C3ABA"/>
    <w:rsid w:val="000C3C20"/>
    <w:rsid w:val="000C47B6"/>
    <w:rsid w:val="000C4BAF"/>
    <w:rsid w:val="000C50C6"/>
    <w:rsid w:val="000C51DE"/>
    <w:rsid w:val="000C57E3"/>
    <w:rsid w:val="000C608F"/>
    <w:rsid w:val="000C6CD9"/>
    <w:rsid w:val="000C7404"/>
    <w:rsid w:val="000D0671"/>
    <w:rsid w:val="000D187B"/>
    <w:rsid w:val="000D1C96"/>
    <w:rsid w:val="000D2911"/>
    <w:rsid w:val="000D3139"/>
    <w:rsid w:val="000D31D8"/>
    <w:rsid w:val="000D34C5"/>
    <w:rsid w:val="000D3650"/>
    <w:rsid w:val="000D3E2E"/>
    <w:rsid w:val="000D43DC"/>
    <w:rsid w:val="000D4C91"/>
    <w:rsid w:val="000D4CE2"/>
    <w:rsid w:val="000D4D3E"/>
    <w:rsid w:val="000D504A"/>
    <w:rsid w:val="000D50EB"/>
    <w:rsid w:val="000D5294"/>
    <w:rsid w:val="000D56F9"/>
    <w:rsid w:val="000D5AE5"/>
    <w:rsid w:val="000D6108"/>
    <w:rsid w:val="000D75CF"/>
    <w:rsid w:val="000D787F"/>
    <w:rsid w:val="000D7A5D"/>
    <w:rsid w:val="000E1449"/>
    <w:rsid w:val="000E1EC0"/>
    <w:rsid w:val="000E206A"/>
    <w:rsid w:val="000E2140"/>
    <w:rsid w:val="000E25F0"/>
    <w:rsid w:val="000E27CD"/>
    <w:rsid w:val="000E32AB"/>
    <w:rsid w:val="000E47BA"/>
    <w:rsid w:val="000E4F2E"/>
    <w:rsid w:val="000E63DF"/>
    <w:rsid w:val="000E6C49"/>
    <w:rsid w:val="000E78A9"/>
    <w:rsid w:val="000E7951"/>
    <w:rsid w:val="000F0C42"/>
    <w:rsid w:val="000F0F8E"/>
    <w:rsid w:val="000F105D"/>
    <w:rsid w:val="000F2AA0"/>
    <w:rsid w:val="000F35F9"/>
    <w:rsid w:val="000F37CB"/>
    <w:rsid w:val="000F390C"/>
    <w:rsid w:val="000F3B1E"/>
    <w:rsid w:val="000F43FB"/>
    <w:rsid w:val="000F43FC"/>
    <w:rsid w:val="000F5304"/>
    <w:rsid w:val="000F5651"/>
    <w:rsid w:val="000F5F94"/>
    <w:rsid w:val="000F624F"/>
    <w:rsid w:val="000F64A5"/>
    <w:rsid w:val="000F699D"/>
    <w:rsid w:val="000F72FB"/>
    <w:rsid w:val="000F7569"/>
    <w:rsid w:val="000F7DBC"/>
    <w:rsid w:val="00100186"/>
    <w:rsid w:val="00100AF8"/>
    <w:rsid w:val="00101AD1"/>
    <w:rsid w:val="00101D06"/>
    <w:rsid w:val="001020C2"/>
    <w:rsid w:val="00102E6B"/>
    <w:rsid w:val="00103BB9"/>
    <w:rsid w:val="001044AD"/>
    <w:rsid w:val="0010460D"/>
    <w:rsid w:val="00104AD1"/>
    <w:rsid w:val="00104B2E"/>
    <w:rsid w:val="00104F3B"/>
    <w:rsid w:val="00105659"/>
    <w:rsid w:val="0010583B"/>
    <w:rsid w:val="001058A1"/>
    <w:rsid w:val="0010597E"/>
    <w:rsid w:val="00105C30"/>
    <w:rsid w:val="00106117"/>
    <w:rsid w:val="001064E2"/>
    <w:rsid w:val="0010654E"/>
    <w:rsid w:val="00106699"/>
    <w:rsid w:val="00106946"/>
    <w:rsid w:val="001072CC"/>
    <w:rsid w:val="0010774D"/>
    <w:rsid w:val="00107EA3"/>
    <w:rsid w:val="0011021C"/>
    <w:rsid w:val="00110825"/>
    <w:rsid w:val="00110AE0"/>
    <w:rsid w:val="00110FB8"/>
    <w:rsid w:val="0011140B"/>
    <w:rsid w:val="00111A46"/>
    <w:rsid w:val="00111D99"/>
    <w:rsid w:val="0011294D"/>
    <w:rsid w:val="00113196"/>
    <w:rsid w:val="00113434"/>
    <w:rsid w:val="00113658"/>
    <w:rsid w:val="0011411E"/>
    <w:rsid w:val="0011450E"/>
    <w:rsid w:val="001148CF"/>
    <w:rsid w:val="00114BF4"/>
    <w:rsid w:val="00114FD7"/>
    <w:rsid w:val="001150D2"/>
    <w:rsid w:val="00115971"/>
    <w:rsid w:val="0011665B"/>
    <w:rsid w:val="00116C02"/>
    <w:rsid w:val="00116F34"/>
    <w:rsid w:val="00117404"/>
    <w:rsid w:val="0011741C"/>
    <w:rsid w:val="0011777B"/>
    <w:rsid w:val="00117B4A"/>
    <w:rsid w:val="00117B86"/>
    <w:rsid w:val="00117BC2"/>
    <w:rsid w:val="00117BE8"/>
    <w:rsid w:val="00117D87"/>
    <w:rsid w:val="0012053D"/>
    <w:rsid w:val="001211B2"/>
    <w:rsid w:val="0012179B"/>
    <w:rsid w:val="00121F9F"/>
    <w:rsid w:val="0012203C"/>
    <w:rsid w:val="001220FF"/>
    <w:rsid w:val="001229FB"/>
    <w:rsid w:val="00122BCD"/>
    <w:rsid w:val="0012312F"/>
    <w:rsid w:val="001233CE"/>
    <w:rsid w:val="00123512"/>
    <w:rsid w:val="001235C5"/>
    <w:rsid w:val="001238A9"/>
    <w:rsid w:val="00124C83"/>
    <w:rsid w:val="00124D08"/>
    <w:rsid w:val="00124EA6"/>
    <w:rsid w:val="001250D4"/>
    <w:rsid w:val="00125424"/>
    <w:rsid w:val="001255DF"/>
    <w:rsid w:val="00125752"/>
    <w:rsid w:val="00125841"/>
    <w:rsid w:val="00126213"/>
    <w:rsid w:val="00126467"/>
    <w:rsid w:val="001270B8"/>
    <w:rsid w:val="00127488"/>
    <w:rsid w:val="00127605"/>
    <w:rsid w:val="00127A23"/>
    <w:rsid w:val="00130865"/>
    <w:rsid w:val="001308D0"/>
    <w:rsid w:val="00130EFA"/>
    <w:rsid w:val="00131119"/>
    <w:rsid w:val="00131E7F"/>
    <w:rsid w:val="00132256"/>
    <w:rsid w:val="00132281"/>
    <w:rsid w:val="00132C16"/>
    <w:rsid w:val="00133243"/>
    <w:rsid w:val="0013347E"/>
    <w:rsid w:val="001339FE"/>
    <w:rsid w:val="00134E2C"/>
    <w:rsid w:val="00134F05"/>
    <w:rsid w:val="001357D7"/>
    <w:rsid w:val="001372C0"/>
    <w:rsid w:val="0013749B"/>
    <w:rsid w:val="00137578"/>
    <w:rsid w:val="0013762F"/>
    <w:rsid w:val="001379B3"/>
    <w:rsid w:val="00137F4C"/>
    <w:rsid w:val="001400B3"/>
    <w:rsid w:val="00140678"/>
    <w:rsid w:val="001409CB"/>
    <w:rsid w:val="00140CB1"/>
    <w:rsid w:val="001419CC"/>
    <w:rsid w:val="00141C38"/>
    <w:rsid w:val="00142757"/>
    <w:rsid w:val="0014292C"/>
    <w:rsid w:val="00143256"/>
    <w:rsid w:val="001433D9"/>
    <w:rsid w:val="001435C4"/>
    <w:rsid w:val="00144A52"/>
    <w:rsid w:val="001454BF"/>
    <w:rsid w:val="0014575E"/>
    <w:rsid w:val="00145AA5"/>
    <w:rsid w:val="001466ED"/>
    <w:rsid w:val="001469AB"/>
    <w:rsid w:val="00146A48"/>
    <w:rsid w:val="00146B43"/>
    <w:rsid w:val="00146EF8"/>
    <w:rsid w:val="0015031E"/>
    <w:rsid w:val="00150398"/>
    <w:rsid w:val="0015109D"/>
    <w:rsid w:val="00151A08"/>
    <w:rsid w:val="00151CCA"/>
    <w:rsid w:val="0015240F"/>
    <w:rsid w:val="0015274D"/>
    <w:rsid w:val="00152B65"/>
    <w:rsid w:val="00152CCD"/>
    <w:rsid w:val="00153568"/>
    <w:rsid w:val="0015466A"/>
    <w:rsid w:val="001549A3"/>
    <w:rsid w:val="00154B93"/>
    <w:rsid w:val="00154C53"/>
    <w:rsid w:val="00154CBD"/>
    <w:rsid w:val="00154E6D"/>
    <w:rsid w:val="0015516B"/>
    <w:rsid w:val="00155C33"/>
    <w:rsid w:val="00155ECF"/>
    <w:rsid w:val="0015708A"/>
    <w:rsid w:val="001570CA"/>
    <w:rsid w:val="00157149"/>
    <w:rsid w:val="00157276"/>
    <w:rsid w:val="00157BD8"/>
    <w:rsid w:val="00157BEF"/>
    <w:rsid w:val="00157F39"/>
    <w:rsid w:val="00160268"/>
    <w:rsid w:val="00160F1E"/>
    <w:rsid w:val="0016246E"/>
    <w:rsid w:val="001624C4"/>
    <w:rsid w:val="0016286E"/>
    <w:rsid w:val="00162935"/>
    <w:rsid w:val="00162A97"/>
    <w:rsid w:val="00162EAA"/>
    <w:rsid w:val="0016309D"/>
    <w:rsid w:val="00163E4A"/>
    <w:rsid w:val="00163F70"/>
    <w:rsid w:val="00164EE9"/>
    <w:rsid w:val="001654AA"/>
    <w:rsid w:val="00165722"/>
    <w:rsid w:val="0016590E"/>
    <w:rsid w:val="00165A3D"/>
    <w:rsid w:val="00165F89"/>
    <w:rsid w:val="001665A5"/>
    <w:rsid w:val="00166689"/>
    <w:rsid w:val="001676E6"/>
    <w:rsid w:val="00167CBD"/>
    <w:rsid w:val="001701CA"/>
    <w:rsid w:val="001703C2"/>
    <w:rsid w:val="0017082C"/>
    <w:rsid w:val="00170EC8"/>
    <w:rsid w:val="00171324"/>
    <w:rsid w:val="001716D5"/>
    <w:rsid w:val="00171758"/>
    <w:rsid w:val="0017193A"/>
    <w:rsid w:val="00171ABD"/>
    <w:rsid w:val="00172481"/>
    <w:rsid w:val="00173D65"/>
    <w:rsid w:val="001740B5"/>
    <w:rsid w:val="00174A0C"/>
    <w:rsid w:val="00174A6F"/>
    <w:rsid w:val="0017524D"/>
    <w:rsid w:val="00175457"/>
    <w:rsid w:val="00175A07"/>
    <w:rsid w:val="00176A8D"/>
    <w:rsid w:val="0017732F"/>
    <w:rsid w:val="0017782A"/>
    <w:rsid w:val="00177891"/>
    <w:rsid w:val="00177BD9"/>
    <w:rsid w:val="00177DE7"/>
    <w:rsid w:val="001804AC"/>
    <w:rsid w:val="00180C73"/>
    <w:rsid w:val="00180E0F"/>
    <w:rsid w:val="001812B2"/>
    <w:rsid w:val="00181C35"/>
    <w:rsid w:val="00181CB0"/>
    <w:rsid w:val="00181EF5"/>
    <w:rsid w:val="001822DE"/>
    <w:rsid w:val="00182901"/>
    <w:rsid w:val="00182C84"/>
    <w:rsid w:val="00182CB8"/>
    <w:rsid w:val="00182CFD"/>
    <w:rsid w:val="0018321D"/>
    <w:rsid w:val="00183C25"/>
    <w:rsid w:val="0018437F"/>
    <w:rsid w:val="00185457"/>
    <w:rsid w:val="00186237"/>
    <w:rsid w:val="0018623A"/>
    <w:rsid w:val="001865B3"/>
    <w:rsid w:val="001866A5"/>
    <w:rsid w:val="00186866"/>
    <w:rsid w:val="00187402"/>
    <w:rsid w:val="00187457"/>
    <w:rsid w:val="00187830"/>
    <w:rsid w:val="0018792C"/>
    <w:rsid w:val="00187E86"/>
    <w:rsid w:val="00187EF6"/>
    <w:rsid w:val="00190559"/>
    <w:rsid w:val="001907AF"/>
    <w:rsid w:val="001909EF"/>
    <w:rsid w:val="00190D34"/>
    <w:rsid w:val="00190FB6"/>
    <w:rsid w:val="00191674"/>
    <w:rsid w:val="00191755"/>
    <w:rsid w:val="0019187E"/>
    <w:rsid w:val="001918BC"/>
    <w:rsid w:val="001918C0"/>
    <w:rsid w:val="00192499"/>
    <w:rsid w:val="00192742"/>
    <w:rsid w:val="00192C9A"/>
    <w:rsid w:val="001934FF"/>
    <w:rsid w:val="0019388B"/>
    <w:rsid w:val="00193C72"/>
    <w:rsid w:val="00193F3D"/>
    <w:rsid w:val="00194140"/>
    <w:rsid w:val="00194486"/>
    <w:rsid w:val="0019464E"/>
    <w:rsid w:val="00194A46"/>
    <w:rsid w:val="001950E0"/>
    <w:rsid w:val="00195137"/>
    <w:rsid w:val="00195378"/>
    <w:rsid w:val="00196893"/>
    <w:rsid w:val="00196D0A"/>
    <w:rsid w:val="001975AB"/>
    <w:rsid w:val="0019791E"/>
    <w:rsid w:val="00197B75"/>
    <w:rsid w:val="00197BEE"/>
    <w:rsid w:val="00197C29"/>
    <w:rsid w:val="001A0EBE"/>
    <w:rsid w:val="001A26D5"/>
    <w:rsid w:val="001A2BF2"/>
    <w:rsid w:val="001A2CB2"/>
    <w:rsid w:val="001A3CEE"/>
    <w:rsid w:val="001A3FC2"/>
    <w:rsid w:val="001A4154"/>
    <w:rsid w:val="001A47F0"/>
    <w:rsid w:val="001A4E77"/>
    <w:rsid w:val="001A50A1"/>
    <w:rsid w:val="001A5F32"/>
    <w:rsid w:val="001A603B"/>
    <w:rsid w:val="001A6040"/>
    <w:rsid w:val="001A61F5"/>
    <w:rsid w:val="001A668C"/>
    <w:rsid w:val="001A6965"/>
    <w:rsid w:val="001A6F46"/>
    <w:rsid w:val="001A6FF8"/>
    <w:rsid w:val="001A71B2"/>
    <w:rsid w:val="001A77A6"/>
    <w:rsid w:val="001A7950"/>
    <w:rsid w:val="001A7BB7"/>
    <w:rsid w:val="001B053E"/>
    <w:rsid w:val="001B2231"/>
    <w:rsid w:val="001B2905"/>
    <w:rsid w:val="001B2DD6"/>
    <w:rsid w:val="001B2E9D"/>
    <w:rsid w:val="001B2EFC"/>
    <w:rsid w:val="001B3675"/>
    <w:rsid w:val="001B3B1B"/>
    <w:rsid w:val="001B3B8B"/>
    <w:rsid w:val="001B3EEA"/>
    <w:rsid w:val="001B59AF"/>
    <w:rsid w:val="001B59E3"/>
    <w:rsid w:val="001B6206"/>
    <w:rsid w:val="001B62B1"/>
    <w:rsid w:val="001B63D6"/>
    <w:rsid w:val="001B6410"/>
    <w:rsid w:val="001B67EE"/>
    <w:rsid w:val="001B6B27"/>
    <w:rsid w:val="001B6EC5"/>
    <w:rsid w:val="001B74F7"/>
    <w:rsid w:val="001B7B2D"/>
    <w:rsid w:val="001C0653"/>
    <w:rsid w:val="001C06B6"/>
    <w:rsid w:val="001C085C"/>
    <w:rsid w:val="001C0B3A"/>
    <w:rsid w:val="001C0CE8"/>
    <w:rsid w:val="001C1305"/>
    <w:rsid w:val="001C1549"/>
    <w:rsid w:val="001C2112"/>
    <w:rsid w:val="001C25F4"/>
    <w:rsid w:val="001C2B7C"/>
    <w:rsid w:val="001C314A"/>
    <w:rsid w:val="001C4195"/>
    <w:rsid w:val="001C4A6B"/>
    <w:rsid w:val="001C4EC0"/>
    <w:rsid w:val="001C6871"/>
    <w:rsid w:val="001C7178"/>
    <w:rsid w:val="001C7F9A"/>
    <w:rsid w:val="001D01DD"/>
    <w:rsid w:val="001D0AAA"/>
    <w:rsid w:val="001D0BE0"/>
    <w:rsid w:val="001D0EEF"/>
    <w:rsid w:val="001D19D9"/>
    <w:rsid w:val="001D1CA5"/>
    <w:rsid w:val="001D218C"/>
    <w:rsid w:val="001D258E"/>
    <w:rsid w:val="001D259C"/>
    <w:rsid w:val="001D2600"/>
    <w:rsid w:val="001D2683"/>
    <w:rsid w:val="001D3426"/>
    <w:rsid w:val="001D3604"/>
    <w:rsid w:val="001D38CE"/>
    <w:rsid w:val="001D4188"/>
    <w:rsid w:val="001D420C"/>
    <w:rsid w:val="001D4211"/>
    <w:rsid w:val="001D476D"/>
    <w:rsid w:val="001D4B0A"/>
    <w:rsid w:val="001D4B30"/>
    <w:rsid w:val="001D5032"/>
    <w:rsid w:val="001D5252"/>
    <w:rsid w:val="001D57EB"/>
    <w:rsid w:val="001D57F3"/>
    <w:rsid w:val="001D5FEB"/>
    <w:rsid w:val="001D63CF"/>
    <w:rsid w:val="001D66F4"/>
    <w:rsid w:val="001D6CF9"/>
    <w:rsid w:val="001D6FA6"/>
    <w:rsid w:val="001D6FEC"/>
    <w:rsid w:val="001D714A"/>
    <w:rsid w:val="001D785F"/>
    <w:rsid w:val="001E03F3"/>
    <w:rsid w:val="001E0427"/>
    <w:rsid w:val="001E04BA"/>
    <w:rsid w:val="001E0B9C"/>
    <w:rsid w:val="001E0E86"/>
    <w:rsid w:val="001E1179"/>
    <w:rsid w:val="001E11C8"/>
    <w:rsid w:val="001E1384"/>
    <w:rsid w:val="001E1488"/>
    <w:rsid w:val="001E17AD"/>
    <w:rsid w:val="001E1C8A"/>
    <w:rsid w:val="001E22FF"/>
    <w:rsid w:val="001E2635"/>
    <w:rsid w:val="001E2AE7"/>
    <w:rsid w:val="001E2BA3"/>
    <w:rsid w:val="001E3067"/>
    <w:rsid w:val="001E3105"/>
    <w:rsid w:val="001E3700"/>
    <w:rsid w:val="001E387E"/>
    <w:rsid w:val="001E3BE8"/>
    <w:rsid w:val="001E42BD"/>
    <w:rsid w:val="001E5071"/>
    <w:rsid w:val="001E53E0"/>
    <w:rsid w:val="001E5828"/>
    <w:rsid w:val="001E5860"/>
    <w:rsid w:val="001E58DF"/>
    <w:rsid w:val="001E6523"/>
    <w:rsid w:val="001E6BEB"/>
    <w:rsid w:val="001E6CEC"/>
    <w:rsid w:val="001E6F97"/>
    <w:rsid w:val="001E7655"/>
    <w:rsid w:val="001E7BB8"/>
    <w:rsid w:val="001E7F11"/>
    <w:rsid w:val="001F01BE"/>
    <w:rsid w:val="001F1840"/>
    <w:rsid w:val="001F1BD9"/>
    <w:rsid w:val="001F2903"/>
    <w:rsid w:val="001F2979"/>
    <w:rsid w:val="001F323B"/>
    <w:rsid w:val="001F3308"/>
    <w:rsid w:val="001F3D20"/>
    <w:rsid w:val="001F4952"/>
    <w:rsid w:val="001F4DDE"/>
    <w:rsid w:val="001F50EB"/>
    <w:rsid w:val="001F51E8"/>
    <w:rsid w:val="001F5434"/>
    <w:rsid w:val="001F5501"/>
    <w:rsid w:val="001F5586"/>
    <w:rsid w:val="001F6668"/>
    <w:rsid w:val="001F66BA"/>
    <w:rsid w:val="001F66DB"/>
    <w:rsid w:val="001F688B"/>
    <w:rsid w:val="001F69C6"/>
    <w:rsid w:val="001F6BB0"/>
    <w:rsid w:val="001F749D"/>
    <w:rsid w:val="001F7CE0"/>
    <w:rsid w:val="00200076"/>
    <w:rsid w:val="002006DA"/>
    <w:rsid w:val="00200814"/>
    <w:rsid w:val="00200E01"/>
    <w:rsid w:val="00200F45"/>
    <w:rsid w:val="002010E7"/>
    <w:rsid w:val="0020147F"/>
    <w:rsid w:val="00201A55"/>
    <w:rsid w:val="00202284"/>
    <w:rsid w:val="00202678"/>
    <w:rsid w:val="00202A43"/>
    <w:rsid w:val="002045F8"/>
    <w:rsid w:val="00204ED1"/>
    <w:rsid w:val="0020502D"/>
    <w:rsid w:val="00205814"/>
    <w:rsid w:val="00205F5C"/>
    <w:rsid w:val="0020689C"/>
    <w:rsid w:val="00206E1C"/>
    <w:rsid w:val="0020724A"/>
    <w:rsid w:val="00207736"/>
    <w:rsid w:val="00210692"/>
    <w:rsid w:val="002107C9"/>
    <w:rsid w:val="002108C9"/>
    <w:rsid w:val="00210E40"/>
    <w:rsid w:val="00211F80"/>
    <w:rsid w:val="002129C4"/>
    <w:rsid w:val="00212D64"/>
    <w:rsid w:val="00212E8D"/>
    <w:rsid w:val="00212FA5"/>
    <w:rsid w:val="00212FFB"/>
    <w:rsid w:val="002132B4"/>
    <w:rsid w:val="00213510"/>
    <w:rsid w:val="00213F3C"/>
    <w:rsid w:val="002142EB"/>
    <w:rsid w:val="00214633"/>
    <w:rsid w:val="002150E0"/>
    <w:rsid w:val="002162AA"/>
    <w:rsid w:val="00216C11"/>
    <w:rsid w:val="002170FB"/>
    <w:rsid w:val="002178EA"/>
    <w:rsid w:val="0021798E"/>
    <w:rsid w:val="002201CE"/>
    <w:rsid w:val="00220689"/>
    <w:rsid w:val="00220EE3"/>
    <w:rsid w:val="00221066"/>
    <w:rsid w:val="0022162F"/>
    <w:rsid w:val="0022220C"/>
    <w:rsid w:val="0022232C"/>
    <w:rsid w:val="00222B3F"/>
    <w:rsid w:val="00223297"/>
    <w:rsid w:val="002234D8"/>
    <w:rsid w:val="002237C1"/>
    <w:rsid w:val="00223F60"/>
    <w:rsid w:val="00224190"/>
    <w:rsid w:val="00224977"/>
    <w:rsid w:val="00224E05"/>
    <w:rsid w:val="002258A9"/>
    <w:rsid w:val="00225BE5"/>
    <w:rsid w:val="002265FC"/>
    <w:rsid w:val="002266CD"/>
    <w:rsid w:val="00226F7C"/>
    <w:rsid w:val="002274EC"/>
    <w:rsid w:val="0022787D"/>
    <w:rsid w:val="00230067"/>
    <w:rsid w:val="00230EBD"/>
    <w:rsid w:val="00231BFA"/>
    <w:rsid w:val="00231CAF"/>
    <w:rsid w:val="00231E22"/>
    <w:rsid w:val="002320C6"/>
    <w:rsid w:val="002328D2"/>
    <w:rsid w:val="002332E9"/>
    <w:rsid w:val="00233A9B"/>
    <w:rsid w:val="00233B8F"/>
    <w:rsid w:val="002342F9"/>
    <w:rsid w:val="0023434B"/>
    <w:rsid w:val="002343EE"/>
    <w:rsid w:val="002345A1"/>
    <w:rsid w:val="0023476F"/>
    <w:rsid w:val="002358A4"/>
    <w:rsid w:val="00235B6F"/>
    <w:rsid w:val="00235ED7"/>
    <w:rsid w:val="0023666D"/>
    <w:rsid w:val="00236704"/>
    <w:rsid w:val="0023689D"/>
    <w:rsid w:val="00236D92"/>
    <w:rsid w:val="00237295"/>
    <w:rsid w:val="00237790"/>
    <w:rsid w:val="0024052D"/>
    <w:rsid w:val="00240569"/>
    <w:rsid w:val="00240713"/>
    <w:rsid w:val="002411C8"/>
    <w:rsid w:val="002415F9"/>
    <w:rsid w:val="00241715"/>
    <w:rsid w:val="00241C81"/>
    <w:rsid w:val="00241FAD"/>
    <w:rsid w:val="00242768"/>
    <w:rsid w:val="002444B8"/>
    <w:rsid w:val="00244548"/>
    <w:rsid w:val="0024458C"/>
    <w:rsid w:val="0024488C"/>
    <w:rsid w:val="00244FB1"/>
    <w:rsid w:val="00245161"/>
    <w:rsid w:val="002456F8"/>
    <w:rsid w:val="00245808"/>
    <w:rsid w:val="00245A4E"/>
    <w:rsid w:val="00245A90"/>
    <w:rsid w:val="00245D32"/>
    <w:rsid w:val="00245DE2"/>
    <w:rsid w:val="0024617D"/>
    <w:rsid w:val="0024621A"/>
    <w:rsid w:val="00246841"/>
    <w:rsid w:val="00246A22"/>
    <w:rsid w:val="002474E4"/>
    <w:rsid w:val="00247509"/>
    <w:rsid w:val="00247793"/>
    <w:rsid w:val="00247B37"/>
    <w:rsid w:val="00247B50"/>
    <w:rsid w:val="002502B5"/>
    <w:rsid w:val="002504A2"/>
    <w:rsid w:val="002507B2"/>
    <w:rsid w:val="00251126"/>
    <w:rsid w:val="00251150"/>
    <w:rsid w:val="0025141E"/>
    <w:rsid w:val="00251B2B"/>
    <w:rsid w:val="00251BDC"/>
    <w:rsid w:val="0025210A"/>
    <w:rsid w:val="00252B31"/>
    <w:rsid w:val="00253B16"/>
    <w:rsid w:val="00254BEB"/>
    <w:rsid w:val="00254C9A"/>
    <w:rsid w:val="00254D34"/>
    <w:rsid w:val="0025503D"/>
    <w:rsid w:val="00255564"/>
    <w:rsid w:val="0025580F"/>
    <w:rsid w:val="00255C1D"/>
    <w:rsid w:val="00255C6F"/>
    <w:rsid w:val="0025617E"/>
    <w:rsid w:val="0025646D"/>
    <w:rsid w:val="00256647"/>
    <w:rsid w:val="002566B8"/>
    <w:rsid w:val="00256960"/>
    <w:rsid w:val="002573CE"/>
    <w:rsid w:val="002573EB"/>
    <w:rsid w:val="00257DBC"/>
    <w:rsid w:val="002608D4"/>
    <w:rsid w:val="0026196B"/>
    <w:rsid w:val="00261A43"/>
    <w:rsid w:val="0026229B"/>
    <w:rsid w:val="002626DE"/>
    <w:rsid w:val="00262C0F"/>
    <w:rsid w:val="00262F06"/>
    <w:rsid w:val="002632DB"/>
    <w:rsid w:val="00263422"/>
    <w:rsid w:val="0026358B"/>
    <w:rsid w:val="00263921"/>
    <w:rsid w:val="00263E0C"/>
    <w:rsid w:val="0026483D"/>
    <w:rsid w:val="002649E5"/>
    <w:rsid w:val="00264FF8"/>
    <w:rsid w:val="00265FC1"/>
    <w:rsid w:val="0026636B"/>
    <w:rsid w:val="0026650E"/>
    <w:rsid w:val="00266930"/>
    <w:rsid w:val="002669AE"/>
    <w:rsid w:val="002672B6"/>
    <w:rsid w:val="0026789F"/>
    <w:rsid w:val="00267C19"/>
    <w:rsid w:val="00271917"/>
    <w:rsid w:val="00271A81"/>
    <w:rsid w:val="00272BA4"/>
    <w:rsid w:val="00273032"/>
    <w:rsid w:val="002737B8"/>
    <w:rsid w:val="00273AE3"/>
    <w:rsid w:val="00273EEC"/>
    <w:rsid w:val="0027608A"/>
    <w:rsid w:val="0027616E"/>
    <w:rsid w:val="00276277"/>
    <w:rsid w:val="00277C5F"/>
    <w:rsid w:val="00277FAF"/>
    <w:rsid w:val="00280057"/>
    <w:rsid w:val="00281D9E"/>
    <w:rsid w:val="002825BD"/>
    <w:rsid w:val="0028263B"/>
    <w:rsid w:val="002826AB"/>
    <w:rsid w:val="002826CC"/>
    <w:rsid w:val="00282836"/>
    <w:rsid w:val="00283575"/>
    <w:rsid w:val="00284617"/>
    <w:rsid w:val="00284FA5"/>
    <w:rsid w:val="002855DB"/>
    <w:rsid w:val="002859FE"/>
    <w:rsid w:val="00285BC4"/>
    <w:rsid w:val="002860D5"/>
    <w:rsid w:val="002869D1"/>
    <w:rsid w:val="00286A65"/>
    <w:rsid w:val="00286D9E"/>
    <w:rsid w:val="00287317"/>
    <w:rsid w:val="00290C53"/>
    <w:rsid w:val="00290E05"/>
    <w:rsid w:val="00291760"/>
    <w:rsid w:val="00291CC9"/>
    <w:rsid w:val="00291CCA"/>
    <w:rsid w:val="00292056"/>
    <w:rsid w:val="00292479"/>
    <w:rsid w:val="002928F9"/>
    <w:rsid w:val="002929CD"/>
    <w:rsid w:val="00292B11"/>
    <w:rsid w:val="00293074"/>
    <w:rsid w:val="0029342A"/>
    <w:rsid w:val="00293CA6"/>
    <w:rsid w:val="00295EA9"/>
    <w:rsid w:val="002964D6"/>
    <w:rsid w:val="00296919"/>
    <w:rsid w:val="00296928"/>
    <w:rsid w:val="00296B76"/>
    <w:rsid w:val="00297942"/>
    <w:rsid w:val="00297A30"/>
    <w:rsid w:val="00297BBE"/>
    <w:rsid w:val="00297E79"/>
    <w:rsid w:val="002A0866"/>
    <w:rsid w:val="002A197B"/>
    <w:rsid w:val="002A1DF0"/>
    <w:rsid w:val="002A231E"/>
    <w:rsid w:val="002A26A7"/>
    <w:rsid w:val="002A2779"/>
    <w:rsid w:val="002A2CB9"/>
    <w:rsid w:val="002A34F3"/>
    <w:rsid w:val="002A38C9"/>
    <w:rsid w:val="002A41A1"/>
    <w:rsid w:val="002A4296"/>
    <w:rsid w:val="002A4D27"/>
    <w:rsid w:val="002A4DBF"/>
    <w:rsid w:val="002A4E7E"/>
    <w:rsid w:val="002A50D9"/>
    <w:rsid w:val="002A518A"/>
    <w:rsid w:val="002A51E6"/>
    <w:rsid w:val="002A536E"/>
    <w:rsid w:val="002A59DA"/>
    <w:rsid w:val="002A5CE1"/>
    <w:rsid w:val="002A6028"/>
    <w:rsid w:val="002A64A2"/>
    <w:rsid w:val="002A6DF4"/>
    <w:rsid w:val="002A6F28"/>
    <w:rsid w:val="002A741A"/>
    <w:rsid w:val="002A7502"/>
    <w:rsid w:val="002A7CBA"/>
    <w:rsid w:val="002B04CE"/>
    <w:rsid w:val="002B0B73"/>
    <w:rsid w:val="002B0DA8"/>
    <w:rsid w:val="002B145A"/>
    <w:rsid w:val="002B18B7"/>
    <w:rsid w:val="002B292F"/>
    <w:rsid w:val="002B2B3D"/>
    <w:rsid w:val="002B2BD9"/>
    <w:rsid w:val="002B35BA"/>
    <w:rsid w:val="002B5F76"/>
    <w:rsid w:val="002B6BE5"/>
    <w:rsid w:val="002B6F52"/>
    <w:rsid w:val="002B7365"/>
    <w:rsid w:val="002C06C9"/>
    <w:rsid w:val="002C06F5"/>
    <w:rsid w:val="002C1146"/>
    <w:rsid w:val="002C1163"/>
    <w:rsid w:val="002C11B1"/>
    <w:rsid w:val="002C14A9"/>
    <w:rsid w:val="002C1B0C"/>
    <w:rsid w:val="002C1BA0"/>
    <w:rsid w:val="002C1D1E"/>
    <w:rsid w:val="002C21CE"/>
    <w:rsid w:val="002C2261"/>
    <w:rsid w:val="002C2308"/>
    <w:rsid w:val="002C2C87"/>
    <w:rsid w:val="002C3227"/>
    <w:rsid w:val="002C4E48"/>
    <w:rsid w:val="002C5C43"/>
    <w:rsid w:val="002C6B5A"/>
    <w:rsid w:val="002C6E61"/>
    <w:rsid w:val="002C721E"/>
    <w:rsid w:val="002C7D3E"/>
    <w:rsid w:val="002D022C"/>
    <w:rsid w:val="002D0756"/>
    <w:rsid w:val="002D1062"/>
    <w:rsid w:val="002D1AA0"/>
    <w:rsid w:val="002D1D98"/>
    <w:rsid w:val="002D1E88"/>
    <w:rsid w:val="002D205A"/>
    <w:rsid w:val="002D2B77"/>
    <w:rsid w:val="002D39F4"/>
    <w:rsid w:val="002D4879"/>
    <w:rsid w:val="002D4DFE"/>
    <w:rsid w:val="002D57B9"/>
    <w:rsid w:val="002D5CFD"/>
    <w:rsid w:val="002D62EC"/>
    <w:rsid w:val="002D69EF"/>
    <w:rsid w:val="002D6CEF"/>
    <w:rsid w:val="002E0786"/>
    <w:rsid w:val="002E0CD6"/>
    <w:rsid w:val="002E0E91"/>
    <w:rsid w:val="002E12CC"/>
    <w:rsid w:val="002E1334"/>
    <w:rsid w:val="002E1A43"/>
    <w:rsid w:val="002E2314"/>
    <w:rsid w:val="002E2B15"/>
    <w:rsid w:val="002E2EAF"/>
    <w:rsid w:val="002E33EE"/>
    <w:rsid w:val="002E4499"/>
    <w:rsid w:val="002E4607"/>
    <w:rsid w:val="002E49D8"/>
    <w:rsid w:val="002E4A0C"/>
    <w:rsid w:val="002E4AB4"/>
    <w:rsid w:val="002E58EE"/>
    <w:rsid w:val="002E5BE3"/>
    <w:rsid w:val="002E61FD"/>
    <w:rsid w:val="002E6445"/>
    <w:rsid w:val="002E6481"/>
    <w:rsid w:val="002E67A2"/>
    <w:rsid w:val="002E67FE"/>
    <w:rsid w:val="002E6A74"/>
    <w:rsid w:val="002E72C0"/>
    <w:rsid w:val="002E731C"/>
    <w:rsid w:val="002E75A3"/>
    <w:rsid w:val="002E775F"/>
    <w:rsid w:val="002E7C7D"/>
    <w:rsid w:val="002E7CE8"/>
    <w:rsid w:val="002F08E1"/>
    <w:rsid w:val="002F1A6D"/>
    <w:rsid w:val="002F1B8C"/>
    <w:rsid w:val="002F1C99"/>
    <w:rsid w:val="002F2063"/>
    <w:rsid w:val="002F3256"/>
    <w:rsid w:val="002F3471"/>
    <w:rsid w:val="002F36F2"/>
    <w:rsid w:val="002F3880"/>
    <w:rsid w:val="002F424E"/>
    <w:rsid w:val="002F4953"/>
    <w:rsid w:val="002F4A04"/>
    <w:rsid w:val="002F4BCF"/>
    <w:rsid w:val="002F4BED"/>
    <w:rsid w:val="002F5200"/>
    <w:rsid w:val="002F59E8"/>
    <w:rsid w:val="002F5CAB"/>
    <w:rsid w:val="002F66C0"/>
    <w:rsid w:val="002F687A"/>
    <w:rsid w:val="002F6B50"/>
    <w:rsid w:val="002F6DE5"/>
    <w:rsid w:val="002F6FE9"/>
    <w:rsid w:val="002F7979"/>
    <w:rsid w:val="003000F7"/>
    <w:rsid w:val="00300277"/>
    <w:rsid w:val="00300936"/>
    <w:rsid w:val="00301178"/>
    <w:rsid w:val="00302008"/>
    <w:rsid w:val="00302536"/>
    <w:rsid w:val="0030259A"/>
    <w:rsid w:val="00302BFE"/>
    <w:rsid w:val="00302D67"/>
    <w:rsid w:val="00303268"/>
    <w:rsid w:val="00303A4D"/>
    <w:rsid w:val="00303B02"/>
    <w:rsid w:val="00303B4E"/>
    <w:rsid w:val="00303DA4"/>
    <w:rsid w:val="00304058"/>
    <w:rsid w:val="003048B5"/>
    <w:rsid w:val="00304CCA"/>
    <w:rsid w:val="003056B4"/>
    <w:rsid w:val="003057F5"/>
    <w:rsid w:val="00305B84"/>
    <w:rsid w:val="00306906"/>
    <w:rsid w:val="00306B0E"/>
    <w:rsid w:val="00306BC1"/>
    <w:rsid w:val="003072FB"/>
    <w:rsid w:val="003103AF"/>
    <w:rsid w:val="003104E9"/>
    <w:rsid w:val="003105C4"/>
    <w:rsid w:val="00311322"/>
    <w:rsid w:val="0031169B"/>
    <w:rsid w:val="00311E69"/>
    <w:rsid w:val="00312BCE"/>
    <w:rsid w:val="00312EB3"/>
    <w:rsid w:val="00314613"/>
    <w:rsid w:val="00314A26"/>
    <w:rsid w:val="00314B9B"/>
    <w:rsid w:val="00314D7F"/>
    <w:rsid w:val="0031566D"/>
    <w:rsid w:val="0031573C"/>
    <w:rsid w:val="00315C3D"/>
    <w:rsid w:val="00315C7F"/>
    <w:rsid w:val="003160CB"/>
    <w:rsid w:val="003160CD"/>
    <w:rsid w:val="00316439"/>
    <w:rsid w:val="00316466"/>
    <w:rsid w:val="00316793"/>
    <w:rsid w:val="00317C26"/>
    <w:rsid w:val="00317CD3"/>
    <w:rsid w:val="00317E26"/>
    <w:rsid w:val="003203DC"/>
    <w:rsid w:val="003204FC"/>
    <w:rsid w:val="0032093A"/>
    <w:rsid w:val="00321BCA"/>
    <w:rsid w:val="00322792"/>
    <w:rsid w:val="00322B0E"/>
    <w:rsid w:val="00323337"/>
    <w:rsid w:val="00323A08"/>
    <w:rsid w:val="00323B92"/>
    <w:rsid w:val="003242AD"/>
    <w:rsid w:val="0032586C"/>
    <w:rsid w:val="00325C2B"/>
    <w:rsid w:val="00325E63"/>
    <w:rsid w:val="00325E7C"/>
    <w:rsid w:val="00325F61"/>
    <w:rsid w:val="003260FE"/>
    <w:rsid w:val="003262E0"/>
    <w:rsid w:val="00326567"/>
    <w:rsid w:val="003265B2"/>
    <w:rsid w:val="00326CAB"/>
    <w:rsid w:val="00331159"/>
    <w:rsid w:val="003313F8"/>
    <w:rsid w:val="0033157C"/>
    <w:rsid w:val="003316AD"/>
    <w:rsid w:val="00331F8E"/>
    <w:rsid w:val="003321E7"/>
    <w:rsid w:val="00332547"/>
    <w:rsid w:val="003325E0"/>
    <w:rsid w:val="00332827"/>
    <w:rsid w:val="00332C27"/>
    <w:rsid w:val="003333D5"/>
    <w:rsid w:val="00333A8B"/>
    <w:rsid w:val="00333C11"/>
    <w:rsid w:val="00333D63"/>
    <w:rsid w:val="00334E30"/>
    <w:rsid w:val="003350CB"/>
    <w:rsid w:val="00335ED9"/>
    <w:rsid w:val="00335F0B"/>
    <w:rsid w:val="00336887"/>
    <w:rsid w:val="00336EF9"/>
    <w:rsid w:val="00337600"/>
    <w:rsid w:val="00337F56"/>
    <w:rsid w:val="00340408"/>
    <w:rsid w:val="00340C19"/>
    <w:rsid w:val="00340D3C"/>
    <w:rsid w:val="00341096"/>
    <w:rsid w:val="003411F2"/>
    <w:rsid w:val="0034225C"/>
    <w:rsid w:val="00342E38"/>
    <w:rsid w:val="00344A8F"/>
    <w:rsid w:val="0034580F"/>
    <w:rsid w:val="00346E37"/>
    <w:rsid w:val="003473FB"/>
    <w:rsid w:val="0034762C"/>
    <w:rsid w:val="003506C9"/>
    <w:rsid w:val="003508EF"/>
    <w:rsid w:val="00350CD2"/>
    <w:rsid w:val="00350EBE"/>
    <w:rsid w:val="00350F22"/>
    <w:rsid w:val="003515FB"/>
    <w:rsid w:val="00351786"/>
    <w:rsid w:val="003518F2"/>
    <w:rsid w:val="00352881"/>
    <w:rsid w:val="00352C6A"/>
    <w:rsid w:val="003545BC"/>
    <w:rsid w:val="00354D28"/>
    <w:rsid w:val="00354E2D"/>
    <w:rsid w:val="00355546"/>
    <w:rsid w:val="0035591E"/>
    <w:rsid w:val="00355D6A"/>
    <w:rsid w:val="00355F80"/>
    <w:rsid w:val="00355F8F"/>
    <w:rsid w:val="003574BA"/>
    <w:rsid w:val="0035759F"/>
    <w:rsid w:val="003601D8"/>
    <w:rsid w:val="003606F8"/>
    <w:rsid w:val="00360AB0"/>
    <w:rsid w:val="00360C86"/>
    <w:rsid w:val="00360E50"/>
    <w:rsid w:val="00361197"/>
    <w:rsid w:val="00361541"/>
    <w:rsid w:val="003618CA"/>
    <w:rsid w:val="00361AFD"/>
    <w:rsid w:val="00362F56"/>
    <w:rsid w:val="003631D4"/>
    <w:rsid w:val="003637B8"/>
    <w:rsid w:val="003639ED"/>
    <w:rsid w:val="00364279"/>
    <w:rsid w:val="00364648"/>
    <w:rsid w:val="0036471D"/>
    <w:rsid w:val="003647CA"/>
    <w:rsid w:val="00364983"/>
    <w:rsid w:val="00364F39"/>
    <w:rsid w:val="003651A1"/>
    <w:rsid w:val="0036540E"/>
    <w:rsid w:val="0036660B"/>
    <w:rsid w:val="003668CB"/>
    <w:rsid w:val="00366D91"/>
    <w:rsid w:val="00366EC9"/>
    <w:rsid w:val="003702C7"/>
    <w:rsid w:val="00370508"/>
    <w:rsid w:val="00370D6D"/>
    <w:rsid w:val="00370EDA"/>
    <w:rsid w:val="00371277"/>
    <w:rsid w:val="00371314"/>
    <w:rsid w:val="003713D6"/>
    <w:rsid w:val="0037199F"/>
    <w:rsid w:val="00371BB8"/>
    <w:rsid w:val="0037228D"/>
    <w:rsid w:val="00372334"/>
    <w:rsid w:val="00372638"/>
    <w:rsid w:val="00373430"/>
    <w:rsid w:val="0037353F"/>
    <w:rsid w:val="00373A25"/>
    <w:rsid w:val="00373F5A"/>
    <w:rsid w:val="00374B01"/>
    <w:rsid w:val="00374F68"/>
    <w:rsid w:val="00375645"/>
    <w:rsid w:val="0037585A"/>
    <w:rsid w:val="00375AF8"/>
    <w:rsid w:val="00375E83"/>
    <w:rsid w:val="00376587"/>
    <w:rsid w:val="00376991"/>
    <w:rsid w:val="00376B65"/>
    <w:rsid w:val="00376F64"/>
    <w:rsid w:val="003776BE"/>
    <w:rsid w:val="00377BED"/>
    <w:rsid w:val="00377C74"/>
    <w:rsid w:val="003802B5"/>
    <w:rsid w:val="00380637"/>
    <w:rsid w:val="003806E8"/>
    <w:rsid w:val="00380E5A"/>
    <w:rsid w:val="0038108D"/>
    <w:rsid w:val="00381DF6"/>
    <w:rsid w:val="00381E53"/>
    <w:rsid w:val="0038228F"/>
    <w:rsid w:val="0038263D"/>
    <w:rsid w:val="00383254"/>
    <w:rsid w:val="00383C5A"/>
    <w:rsid w:val="003843A9"/>
    <w:rsid w:val="00385295"/>
    <w:rsid w:val="00385A13"/>
    <w:rsid w:val="003864ED"/>
    <w:rsid w:val="0038656A"/>
    <w:rsid w:val="00387216"/>
    <w:rsid w:val="00387582"/>
    <w:rsid w:val="00387CF0"/>
    <w:rsid w:val="00390405"/>
    <w:rsid w:val="00390A6B"/>
    <w:rsid w:val="00390DAC"/>
    <w:rsid w:val="00391EFD"/>
    <w:rsid w:val="00392100"/>
    <w:rsid w:val="003922F6"/>
    <w:rsid w:val="003925E0"/>
    <w:rsid w:val="00392622"/>
    <w:rsid w:val="00392778"/>
    <w:rsid w:val="00392B7A"/>
    <w:rsid w:val="0039313B"/>
    <w:rsid w:val="003932A8"/>
    <w:rsid w:val="00394867"/>
    <w:rsid w:val="003955E4"/>
    <w:rsid w:val="00395EFD"/>
    <w:rsid w:val="00396759"/>
    <w:rsid w:val="00397246"/>
    <w:rsid w:val="00397401"/>
    <w:rsid w:val="00397903"/>
    <w:rsid w:val="00397A0D"/>
    <w:rsid w:val="00397BFF"/>
    <w:rsid w:val="00397EED"/>
    <w:rsid w:val="003A03A2"/>
    <w:rsid w:val="003A049A"/>
    <w:rsid w:val="003A095F"/>
    <w:rsid w:val="003A0F9F"/>
    <w:rsid w:val="003A0FDD"/>
    <w:rsid w:val="003A10A0"/>
    <w:rsid w:val="003A23B2"/>
    <w:rsid w:val="003A2719"/>
    <w:rsid w:val="003A2A99"/>
    <w:rsid w:val="003A3334"/>
    <w:rsid w:val="003A3525"/>
    <w:rsid w:val="003A35BF"/>
    <w:rsid w:val="003A3916"/>
    <w:rsid w:val="003A3B0B"/>
    <w:rsid w:val="003A3CFA"/>
    <w:rsid w:val="003A3EEC"/>
    <w:rsid w:val="003A3F1F"/>
    <w:rsid w:val="003A42B0"/>
    <w:rsid w:val="003A47D0"/>
    <w:rsid w:val="003A4A68"/>
    <w:rsid w:val="003A4B33"/>
    <w:rsid w:val="003A4BCA"/>
    <w:rsid w:val="003A4DE2"/>
    <w:rsid w:val="003A51C8"/>
    <w:rsid w:val="003A54E8"/>
    <w:rsid w:val="003A592A"/>
    <w:rsid w:val="003A62B8"/>
    <w:rsid w:val="003A62C8"/>
    <w:rsid w:val="003A6348"/>
    <w:rsid w:val="003A66E1"/>
    <w:rsid w:val="003A6E60"/>
    <w:rsid w:val="003A6F63"/>
    <w:rsid w:val="003A717A"/>
    <w:rsid w:val="003A76EB"/>
    <w:rsid w:val="003B03D0"/>
    <w:rsid w:val="003B1239"/>
    <w:rsid w:val="003B19D9"/>
    <w:rsid w:val="003B1A91"/>
    <w:rsid w:val="003B3941"/>
    <w:rsid w:val="003B3CB0"/>
    <w:rsid w:val="003B41C7"/>
    <w:rsid w:val="003B42F8"/>
    <w:rsid w:val="003B4410"/>
    <w:rsid w:val="003B4D7D"/>
    <w:rsid w:val="003B4FC3"/>
    <w:rsid w:val="003B50D7"/>
    <w:rsid w:val="003B57EB"/>
    <w:rsid w:val="003B5E02"/>
    <w:rsid w:val="003B6C1B"/>
    <w:rsid w:val="003B7B53"/>
    <w:rsid w:val="003B7F02"/>
    <w:rsid w:val="003C0365"/>
    <w:rsid w:val="003C06B8"/>
    <w:rsid w:val="003C19E1"/>
    <w:rsid w:val="003C2643"/>
    <w:rsid w:val="003C2E42"/>
    <w:rsid w:val="003C31A1"/>
    <w:rsid w:val="003C3C88"/>
    <w:rsid w:val="003C3FA7"/>
    <w:rsid w:val="003C40BA"/>
    <w:rsid w:val="003C42AF"/>
    <w:rsid w:val="003C448C"/>
    <w:rsid w:val="003C44CB"/>
    <w:rsid w:val="003C494D"/>
    <w:rsid w:val="003C4E45"/>
    <w:rsid w:val="003C4FF5"/>
    <w:rsid w:val="003C50DD"/>
    <w:rsid w:val="003C5201"/>
    <w:rsid w:val="003C5A03"/>
    <w:rsid w:val="003C5F57"/>
    <w:rsid w:val="003C63EB"/>
    <w:rsid w:val="003C6660"/>
    <w:rsid w:val="003C6994"/>
    <w:rsid w:val="003C7A5D"/>
    <w:rsid w:val="003C7CC0"/>
    <w:rsid w:val="003D02B2"/>
    <w:rsid w:val="003D03BD"/>
    <w:rsid w:val="003D091C"/>
    <w:rsid w:val="003D0FEB"/>
    <w:rsid w:val="003D13CF"/>
    <w:rsid w:val="003D17E8"/>
    <w:rsid w:val="003D1D20"/>
    <w:rsid w:val="003D1E91"/>
    <w:rsid w:val="003D1F12"/>
    <w:rsid w:val="003D28D3"/>
    <w:rsid w:val="003D31F3"/>
    <w:rsid w:val="003D3549"/>
    <w:rsid w:val="003D45B0"/>
    <w:rsid w:val="003D56E9"/>
    <w:rsid w:val="003D57C6"/>
    <w:rsid w:val="003D5B62"/>
    <w:rsid w:val="003D5C95"/>
    <w:rsid w:val="003D5CBD"/>
    <w:rsid w:val="003D60F6"/>
    <w:rsid w:val="003D61F9"/>
    <w:rsid w:val="003D6543"/>
    <w:rsid w:val="003D6CAE"/>
    <w:rsid w:val="003E03CE"/>
    <w:rsid w:val="003E08B2"/>
    <w:rsid w:val="003E0DB2"/>
    <w:rsid w:val="003E0F12"/>
    <w:rsid w:val="003E1D1D"/>
    <w:rsid w:val="003E2006"/>
    <w:rsid w:val="003E23AE"/>
    <w:rsid w:val="003E2B57"/>
    <w:rsid w:val="003E319C"/>
    <w:rsid w:val="003E37FB"/>
    <w:rsid w:val="003E3932"/>
    <w:rsid w:val="003E433D"/>
    <w:rsid w:val="003E4831"/>
    <w:rsid w:val="003E529F"/>
    <w:rsid w:val="003E53DB"/>
    <w:rsid w:val="003E5828"/>
    <w:rsid w:val="003E5BD3"/>
    <w:rsid w:val="003E61BB"/>
    <w:rsid w:val="003E69C1"/>
    <w:rsid w:val="003E69F3"/>
    <w:rsid w:val="003E6C01"/>
    <w:rsid w:val="003E6C72"/>
    <w:rsid w:val="003E70FA"/>
    <w:rsid w:val="003E7556"/>
    <w:rsid w:val="003F00F5"/>
    <w:rsid w:val="003F1E16"/>
    <w:rsid w:val="003F2356"/>
    <w:rsid w:val="003F3166"/>
    <w:rsid w:val="003F343A"/>
    <w:rsid w:val="003F3A2F"/>
    <w:rsid w:val="003F3BFD"/>
    <w:rsid w:val="003F3CEE"/>
    <w:rsid w:val="003F3E39"/>
    <w:rsid w:val="003F4932"/>
    <w:rsid w:val="003F4C79"/>
    <w:rsid w:val="003F505E"/>
    <w:rsid w:val="003F5380"/>
    <w:rsid w:val="003F55AE"/>
    <w:rsid w:val="003F5750"/>
    <w:rsid w:val="003F5F9F"/>
    <w:rsid w:val="003F6AAF"/>
    <w:rsid w:val="003F701E"/>
    <w:rsid w:val="003F71B2"/>
    <w:rsid w:val="003F765A"/>
    <w:rsid w:val="003F796A"/>
    <w:rsid w:val="003F7B76"/>
    <w:rsid w:val="00400A01"/>
    <w:rsid w:val="00401B2D"/>
    <w:rsid w:val="00401C5B"/>
    <w:rsid w:val="004021B4"/>
    <w:rsid w:val="004021FC"/>
    <w:rsid w:val="00402580"/>
    <w:rsid w:val="0040271B"/>
    <w:rsid w:val="00402B7E"/>
    <w:rsid w:val="00403556"/>
    <w:rsid w:val="004036AC"/>
    <w:rsid w:val="00403C0E"/>
    <w:rsid w:val="004049AF"/>
    <w:rsid w:val="00406107"/>
    <w:rsid w:val="0040639F"/>
    <w:rsid w:val="00406606"/>
    <w:rsid w:val="00406BA2"/>
    <w:rsid w:val="00406C27"/>
    <w:rsid w:val="00406DD3"/>
    <w:rsid w:val="00407357"/>
    <w:rsid w:val="00407647"/>
    <w:rsid w:val="00407AD0"/>
    <w:rsid w:val="00407C5A"/>
    <w:rsid w:val="00407F57"/>
    <w:rsid w:val="00410B1A"/>
    <w:rsid w:val="00411085"/>
    <w:rsid w:val="00411192"/>
    <w:rsid w:val="00411679"/>
    <w:rsid w:val="004116A9"/>
    <w:rsid w:val="00411899"/>
    <w:rsid w:val="00411ABC"/>
    <w:rsid w:val="00411D5A"/>
    <w:rsid w:val="00411E20"/>
    <w:rsid w:val="00412899"/>
    <w:rsid w:val="00412F5F"/>
    <w:rsid w:val="004131A3"/>
    <w:rsid w:val="00413B01"/>
    <w:rsid w:val="00413E79"/>
    <w:rsid w:val="00413EFC"/>
    <w:rsid w:val="00413FA4"/>
    <w:rsid w:val="004143B4"/>
    <w:rsid w:val="00414564"/>
    <w:rsid w:val="00414B62"/>
    <w:rsid w:val="00414BAC"/>
    <w:rsid w:val="00415643"/>
    <w:rsid w:val="00415A35"/>
    <w:rsid w:val="00415B92"/>
    <w:rsid w:val="00415EAE"/>
    <w:rsid w:val="004161DE"/>
    <w:rsid w:val="004163F2"/>
    <w:rsid w:val="00416AA9"/>
    <w:rsid w:val="00417518"/>
    <w:rsid w:val="004177C7"/>
    <w:rsid w:val="00417F81"/>
    <w:rsid w:val="004200D0"/>
    <w:rsid w:val="004206C3"/>
    <w:rsid w:val="00421633"/>
    <w:rsid w:val="00421C77"/>
    <w:rsid w:val="00422716"/>
    <w:rsid w:val="00422F15"/>
    <w:rsid w:val="0042382A"/>
    <w:rsid w:val="00423973"/>
    <w:rsid w:val="00423FF7"/>
    <w:rsid w:val="00424283"/>
    <w:rsid w:val="0042434B"/>
    <w:rsid w:val="00426574"/>
    <w:rsid w:val="00426BBF"/>
    <w:rsid w:val="00426EBB"/>
    <w:rsid w:val="00427107"/>
    <w:rsid w:val="00430F44"/>
    <w:rsid w:val="00431209"/>
    <w:rsid w:val="0043137F"/>
    <w:rsid w:val="00431811"/>
    <w:rsid w:val="00431EAF"/>
    <w:rsid w:val="00431FB2"/>
    <w:rsid w:val="00432C8C"/>
    <w:rsid w:val="0043336E"/>
    <w:rsid w:val="00433686"/>
    <w:rsid w:val="0043396D"/>
    <w:rsid w:val="00433A63"/>
    <w:rsid w:val="00433E83"/>
    <w:rsid w:val="00434077"/>
    <w:rsid w:val="0043450D"/>
    <w:rsid w:val="00434A44"/>
    <w:rsid w:val="00434CD6"/>
    <w:rsid w:val="00434EF8"/>
    <w:rsid w:val="00435521"/>
    <w:rsid w:val="00435916"/>
    <w:rsid w:val="00436063"/>
    <w:rsid w:val="004367F5"/>
    <w:rsid w:val="0043737B"/>
    <w:rsid w:val="004374B9"/>
    <w:rsid w:val="00437B4D"/>
    <w:rsid w:val="004406AA"/>
    <w:rsid w:val="004407EC"/>
    <w:rsid w:val="00440979"/>
    <w:rsid w:val="004410D6"/>
    <w:rsid w:val="00442191"/>
    <w:rsid w:val="00442DC3"/>
    <w:rsid w:val="0044313F"/>
    <w:rsid w:val="004440B1"/>
    <w:rsid w:val="0044411D"/>
    <w:rsid w:val="004442CF"/>
    <w:rsid w:val="004443E8"/>
    <w:rsid w:val="00444B73"/>
    <w:rsid w:val="00444E20"/>
    <w:rsid w:val="00444EAC"/>
    <w:rsid w:val="00445742"/>
    <w:rsid w:val="0044578F"/>
    <w:rsid w:val="004459B7"/>
    <w:rsid w:val="00445A20"/>
    <w:rsid w:val="00445E24"/>
    <w:rsid w:val="00445EB6"/>
    <w:rsid w:val="00445F95"/>
    <w:rsid w:val="0044637A"/>
    <w:rsid w:val="004468CA"/>
    <w:rsid w:val="00447A26"/>
    <w:rsid w:val="00447A3E"/>
    <w:rsid w:val="00447C17"/>
    <w:rsid w:val="00447F4E"/>
    <w:rsid w:val="00450090"/>
    <w:rsid w:val="00450B68"/>
    <w:rsid w:val="004520C2"/>
    <w:rsid w:val="004525D7"/>
    <w:rsid w:val="0045269C"/>
    <w:rsid w:val="00452CF1"/>
    <w:rsid w:val="00453371"/>
    <w:rsid w:val="00453C22"/>
    <w:rsid w:val="00454AAE"/>
    <w:rsid w:val="00454E9C"/>
    <w:rsid w:val="0045504C"/>
    <w:rsid w:val="00455CDF"/>
    <w:rsid w:val="00455F05"/>
    <w:rsid w:val="00455F33"/>
    <w:rsid w:val="004565AE"/>
    <w:rsid w:val="00456A13"/>
    <w:rsid w:val="00456AF9"/>
    <w:rsid w:val="00457203"/>
    <w:rsid w:val="00457420"/>
    <w:rsid w:val="00457A18"/>
    <w:rsid w:val="00457DEB"/>
    <w:rsid w:val="004602C6"/>
    <w:rsid w:val="00460EB0"/>
    <w:rsid w:val="00460F71"/>
    <w:rsid w:val="00460FAD"/>
    <w:rsid w:val="004611F2"/>
    <w:rsid w:val="004615AA"/>
    <w:rsid w:val="00462B82"/>
    <w:rsid w:val="00462B93"/>
    <w:rsid w:val="004630D5"/>
    <w:rsid w:val="004632C2"/>
    <w:rsid w:val="00463AB7"/>
    <w:rsid w:val="00464B22"/>
    <w:rsid w:val="00464E68"/>
    <w:rsid w:val="00464F00"/>
    <w:rsid w:val="004651B2"/>
    <w:rsid w:val="00465BC6"/>
    <w:rsid w:val="00466953"/>
    <w:rsid w:val="00466C06"/>
    <w:rsid w:val="00466D34"/>
    <w:rsid w:val="00467010"/>
    <w:rsid w:val="00467093"/>
    <w:rsid w:val="00467359"/>
    <w:rsid w:val="00470F0D"/>
    <w:rsid w:val="0047180F"/>
    <w:rsid w:val="00471894"/>
    <w:rsid w:val="004719DB"/>
    <w:rsid w:val="004729B9"/>
    <w:rsid w:val="00472DF6"/>
    <w:rsid w:val="00474835"/>
    <w:rsid w:val="00474C7A"/>
    <w:rsid w:val="00474E6E"/>
    <w:rsid w:val="00475058"/>
    <w:rsid w:val="00475842"/>
    <w:rsid w:val="0047589E"/>
    <w:rsid w:val="00475AE9"/>
    <w:rsid w:val="00476074"/>
    <w:rsid w:val="0047666E"/>
    <w:rsid w:val="00476B38"/>
    <w:rsid w:val="00477BFD"/>
    <w:rsid w:val="00477C67"/>
    <w:rsid w:val="00480972"/>
    <w:rsid w:val="00480AFE"/>
    <w:rsid w:val="00480F5A"/>
    <w:rsid w:val="00481BC5"/>
    <w:rsid w:val="00482BEF"/>
    <w:rsid w:val="00482DA8"/>
    <w:rsid w:val="00483F50"/>
    <w:rsid w:val="00484AB4"/>
    <w:rsid w:val="00484B2D"/>
    <w:rsid w:val="00484B66"/>
    <w:rsid w:val="00484B74"/>
    <w:rsid w:val="0048564F"/>
    <w:rsid w:val="00485A18"/>
    <w:rsid w:val="00485A6F"/>
    <w:rsid w:val="00485D85"/>
    <w:rsid w:val="00485F15"/>
    <w:rsid w:val="00486432"/>
    <w:rsid w:val="004878C6"/>
    <w:rsid w:val="004878E1"/>
    <w:rsid w:val="004901A4"/>
    <w:rsid w:val="00490257"/>
    <w:rsid w:val="004904B4"/>
    <w:rsid w:val="00490561"/>
    <w:rsid w:val="00490DE8"/>
    <w:rsid w:val="00490F66"/>
    <w:rsid w:val="00491624"/>
    <w:rsid w:val="00491787"/>
    <w:rsid w:val="00491A8C"/>
    <w:rsid w:val="004920B1"/>
    <w:rsid w:val="004926C3"/>
    <w:rsid w:val="0049275E"/>
    <w:rsid w:val="00492867"/>
    <w:rsid w:val="00492AC4"/>
    <w:rsid w:val="00492EBE"/>
    <w:rsid w:val="00492F53"/>
    <w:rsid w:val="004930D7"/>
    <w:rsid w:val="00493216"/>
    <w:rsid w:val="0049322E"/>
    <w:rsid w:val="00493668"/>
    <w:rsid w:val="00493741"/>
    <w:rsid w:val="00493D7B"/>
    <w:rsid w:val="00494452"/>
    <w:rsid w:val="004958B5"/>
    <w:rsid w:val="0049594B"/>
    <w:rsid w:val="00496264"/>
    <w:rsid w:val="00496423"/>
    <w:rsid w:val="00496BDA"/>
    <w:rsid w:val="00496DC9"/>
    <w:rsid w:val="00496F5C"/>
    <w:rsid w:val="0049757E"/>
    <w:rsid w:val="004977B6"/>
    <w:rsid w:val="004979DD"/>
    <w:rsid w:val="004A0808"/>
    <w:rsid w:val="004A0F52"/>
    <w:rsid w:val="004A1057"/>
    <w:rsid w:val="004A14F1"/>
    <w:rsid w:val="004A1E9A"/>
    <w:rsid w:val="004A2434"/>
    <w:rsid w:val="004A283F"/>
    <w:rsid w:val="004A2F65"/>
    <w:rsid w:val="004A2FB2"/>
    <w:rsid w:val="004A3016"/>
    <w:rsid w:val="004A36E8"/>
    <w:rsid w:val="004A3FAE"/>
    <w:rsid w:val="004A4556"/>
    <w:rsid w:val="004A4AB2"/>
    <w:rsid w:val="004A5F57"/>
    <w:rsid w:val="004A6290"/>
    <w:rsid w:val="004A6A0D"/>
    <w:rsid w:val="004A6CB8"/>
    <w:rsid w:val="004A775A"/>
    <w:rsid w:val="004A794D"/>
    <w:rsid w:val="004B032B"/>
    <w:rsid w:val="004B040C"/>
    <w:rsid w:val="004B0B58"/>
    <w:rsid w:val="004B0E52"/>
    <w:rsid w:val="004B15EB"/>
    <w:rsid w:val="004B18EE"/>
    <w:rsid w:val="004B239E"/>
    <w:rsid w:val="004B26DB"/>
    <w:rsid w:val="004B2AA2"/>
    <w:rsid w:val="004B2BAA"/>
    <w:rsid w:val="004B2E5A"/>
    <w:rsid w:val="004B2F53"/>
    <w:rsid w:val="004B366D"/>
    <w:rsid w:val="004B37E8"/>
    <w:rsid w:val="004B399B"/>
    <w:rsid w:val="004B5C47"/>
    <w:rsid w:val="004B6078"/>
    <w:rsid w:val="004B679B"/>
    <w:rsid w:val="004B736D"/>
    <w:rsid w:val="004B761C"/>
    <w:rsid w:val="004B78DD"/>
    <w:rsid w:val="004B7924"/>
    <w:rsid w:val="004B7CD6"/>
    <w:rsid w:val="004C0B0F"/>
    <w:rsid w:val="004C0C61"/>
    <w:rsid w:val="004C1A56"/>
    <w:rsid w:val="004C1C81"/>
    <w:rsid w:val="004C233B"/>
    <w:rsid w:val="004C25C2"/>
    <w:rsid w:val="004C2BF3"/>
    <w:rsid w:val="004C2FE6"/>
    <w:rsid w:val="004C3DEB"/>
    <w:rsid w:val="004C4415"/>
    <w:rsid w:val="004C44CE"/>
    <w:rsid w:val="004C49EF"/>
    <w:rsid w:val="004C5208"/>
    <w:rsid w:val="004C5D0C"/>
    <w:rsid w:val="004C5F5E"/>
    <w:rsid w:val="004C6A87"/>
    <w:rsid w:val="004C6C5D"/>
    <w:rsid w:val="004C6C5F"/>
    <w:rsid w:val="004C74C7"/>
    <w:rsid w:val="004C796F"/>
    <w:rsid w:val="004C7C6B"/>
    <w:rsid w:val="004C7FDA"/>
    <w:rsid w:val="004D03A2"/>
    <w:rsid w:val="004D0D55"/>
    <w:rsid w:val="004D0F79"/>
    <w:rsid w:val="004D1CA0"/>
    <w:rsid w:val="004D295C"/>
    <w:rsid w:val="004D32CA"/>
    <w:rsid w:val="004D32F7"/>
    <w:rsid w:val="004D32FF"/>
    <w:rsid w:val="004D39E2"/>
    <w:rsid w:val="004D3D41"/>
    <w:rsid w:val="004D44DF"/>
    <w:rsid w:val="004D47BF"/>
    <w:rsid w:val="004D49CD"/>
    <w:rsid w:val="004D5758"/>
    <w:rsid w:val="004D5FEF"/>
    <w:rsid w:val="004D6057"/>
    <w:rsid w:val="004D77C3"/>
    <w:rsid w:val="004D7C24"/>
    <w:rsid w:val="004E051E"/>
    <w:rsid w:val="004E0DCC"/>
    <w:rsid w:val="004E11A2"/>
    <w:rsid w:val="004E12FB"/>
    <w:rsid w:val="004E1DAA"/>
    <w:rsid w:val="004E2201"/>
    <w:rsid w:val="004E234B"/>
    <w:rsid w:val="004E30A5"/>
    <w:rsid w:val="004E3496"/>
    <w:rsid w:val="004E362B"/>
    <w:rsid w:val="004E3EB2"/>
    <w:rsid w:val="004E48BE"/>
    <w:rsid w:val="004E5808"/>
    <w:rsid w:val="004E5D00"/>
    <w:rsid w:val="004E5DFC"/>
    <w:rsid w:val="004E5F17"/>
    <w:rsid w:val="004E6758"/>
    <w:rsid w:val="004E700B"/>
    <w:rsid w:val="004F00C8"/>
    <w:rsid w:val="004F0619"/>
    <w:rsid w:val="004F0651"/>
    <w:rsid w:val="004F0690"/>
    <w:rsid w:val="004F159E"/>
    <w:rsid w:val="004F1986"/>
    <w:rsid w:val="004F3813"/>
    <w:rsid w:val="004F3EE3"/>
    <w:rsid w:val="004F462A"/>
    <w:rsid w:val="004F4FAE"/>
    <w:rsid w:val="004F5335"/>
    <w:rsid w:val="004F54A0"/>
    <w:rsid w:val="004F55D3"/>
    <w:rsid w:val="004F6479"/>
    <w:rsid w:val="004F6DE1"/>
    <w:rsid w:val="004F73D4"/>
    <w:rsid w:val="004F7EFD"/>
    <w:rsid w:val="005002D1"/>
    <w:rsid w:val="00500547"/>
    <w:rsid w:val="0050071C"/>
    <w:rsid w:val="0050096C"/>
    <w:rsid w:val="00500A19"/>
    <w:rsid w:val="005026C4"/>
    <w:rsid w:val="00502ABF"/>
    <w:rsid w:val="00502E24"/>
    <w:rsid w:val="00502F92"/>
    <w:rsid w:val="005041FF"/>
    <w:rsid w:val="0050433B"/>
    <w:rsid w:val="005044E4"/>
    <w:rsid w:val="0050485E"/>
    <w:rsid w:val="00504B03"/>
    <w:rsid w:val="0050530B"/>
    <w:rsid w:val="005058A3"/>
    <w:rsid w:val="00505FC5"/>
    <w:rsid w:val="0050620D"/>
    <w:rsid w:val="00506327"/>
    <w:rsid w:val="00506580"/>
    <w:rsid w:val="00506A39"/>
    <w:rsid w:val="00507045"/>
    <w:rsid w:val="0050715A"/>
    <w:rsid w:val="00507C97"/>
    <w:rsid w:val="00510340"/>
    <w:rsid w:val="00510A6F"/>
    <w:rsid w:val="00510E55"/>
    <w:rsid w:val="00511059"/>
    <w:rsid w:val="005112E4"/>
    <w:rsid w:val="0051193B"/>
    <w:rsid w:val="00511C1A"/>
    <w:rsid w:val="00512DCF"/>
    <w:rsid w:val="00513048"/>
    <w:rsid w:val="00513446"/>
    <w:rsid w:val="005138B3"/>
    <w:rsid w:val="00513BB3"/>
    <w:rsid w:val="00513D1D"/>
    <w:rsid w:val="00513E29"/>
    <w:rsid w:val="00514F38"/>
    <w:rsid w:val="00516807"/>
    <w:rsid w:val="00516EBF"/>
    <w:rsid w:val="0051734A"/>
    <w:rsid w:val="005174E7"/>
    <w:rsid w:val="0051752B"/>
    <w:rsid w:val="0051779E"/>
    <w:rsid w:val="00517AEE"/>
    <w:rsid w:val="00517DE7"/>
    <w:rsid w:val="005200B5"/>
    <w:rsid w:val="00520217"/>
    <w:rsid w:val="005202BA"/>
    <w:rsid w:val="00520598"/>
    <w:rsid w:val="00520934"/>
    <w:rsid w:val="00520E62"/>
    <w:rsid w:val="00521460"/>
    <w:rsid w:val="0052147C"/>
    <w:rsid w:val="005216EC"/>
    <w:rsid w:val="00522362"/>
    <w:rsid w:val="00522819"/>
    <w:rsid w:val="00522C55"/>
    <w:rsid w:val="00522E66"/>
    <w:rsid w:val="00524558"/>
    <w:rsid w:val="00524AF7"/>
    <w:rsid w:val="00525A77"/>
    <w:rsid w:val="00525BFA"/>
    <w:rsid w:val="00525F36"/>
    <w:rsid w:val="005275D0"/>
    <w:rsid w:val="00527631"/>
    <w:rsid w:val="005279A0"/>
    <w:rsid w:val="00530179"/>
    <w:rsid w:val="005306E4"/>
    <w:rsid w:val="005308DB"/>
    <w:rsid w:val="00530B03"/>
    <w:rsid w:val="00531588"/>
    <w:rsid w:val="00531C46"/>
    <w:rsid w:val="0053209D"/>
    <w:rsid w:val="005320D7"/>
    <w:rsid w:val="00532A40"/>
    <w:rsid w:val="00532F30"/>
    <w:rsid w:val="0053306B"/>
    <w:rsid w:val="005337D7"/>
    <w:rsid w:val="005343D6"/>
    <w:rsid w:val="0053472B"/>
    <w:rsid w:val="005347D1"/>
    <w:rsid w:val="00534F69"/>
    <w:rsid w:val="00535496"/>
    <w:rsid w:val="0053693F"/>
    <w:rsid w:val="00536D2D"/>
    <w:rsid w:val="00536F8B"/>
    <w:rsid w:val="00537B06"/>
    <w:rsid w:val="00537C67"/>
    <w:rsid w:val="005411B7"/>
    <w:rsid w:val="005413F7"/>
    <w:rsid w:val="00541492"/>
    <w:rsid w:val="005419B6"/>
    <w:rsid w:val="00541D7A"/>
    <w:rsid w:val="00542151"/>
    <w:rsid w:val="005421F7"/>
    <w:rsid w:val="00542730"/>
    <w:rsid w:val="00542C29"/>
    <w:rsid w:val="00542CDA"/>
    <w:rsid w:val="005430FD"/>
    <w:rsid w:val="0054354D"/>
    <w:rsid w:val="005438C9"/>
    <w:rsid w:val="00543CD8"/>
    <w:rsid w:val="00543CEC"/>
    <w:rsid w:val="0054404E"/>
    <w:rsid w:val="00544356"/>
    <w:rsid w:val="0054454E"/>
    <w:rsid w:val="00544573"/>
    <w:rsid w:val="005446E1"/>
    <w:rsid w:val="00544719"/>
    <w:rsid w:val="00544CDB"/>
    <w:rsid w:val="00545090"/>
    <w:rsid w:val="0054513D"/>
    <w:rsid w:val="00545D02"/>
    <w:rsid w:val="005463B9"/>
    <w:rsid w:val="0054640C"/>
    <w:rsid w:val="00546EF5"/>
    <w:rsid w:val="00546F49"/>
    <w:rsid w:val="0054738F"/>
    <w:rsid w:val="00550F70"/>
    <w:rsid w:val="00551745"/>
    <w:rsid w:val="005518CC"/>
    <w:rsid w:val="0055191E"/>
    <w:rsid w:val="0055198D"/>
    <w:rsid w:val="00551D48"/>
    <w:rsid w:val="005526C3"/>
    <w:rsid w:val="005534AB"/>
    <w:rsid w:val="005536BB"/>
    <w:rsid w:val="00553978"/>
    <w:rsid w:val="00553DEE"/>
    <w:rsid w:val="00554819"/>
    <w:rsid w:val="00554D38"/>
    <w:rsid w:val="005559ED"/>
    <w:rsid w:val="00556214"/>
    <w:rsid w:val="005562B2"/>
    <w:rsid w:val="0055671C"/>
    <w:rsid w:val="005567A6"/>
    <w:rsid w:val="005570A1"/>
    <w:rsid w:val="00557108"/>
    <w:rsid w:val="00557B07"/>
    <w:rsid w:val="00557D0B"/>
    <w:rsid w:val="0056002E"/>
    <w:rsid w:val="00560984"/>
    <w:rsid w:val="00560AAD"/>
    <w:rsid w:val="00561C67"/>
    <w:rsid w:val="00561CA0"/>
    <w:rsid w:val="00561F21"/>
    <w:rsid w:val="0056222C"/>
    <w:rsid w:val="005627E8"/>
    <w:rsid w:val="00562B13"/>
    <w:rsid w:val="00563690"/>
    <w:rsid w:val="00563ABA"/>
    <w:rsid w:val="00563CAA"/>
    <w:rsid w:val="00563F9A"/>
    <w:rsid w:val="005643D4"/>
    <w:rsid w:val="0056506E"/>
    <w:rsid w:val="00565279"/>
    <w:rsid w:val="00565500"/>
    <w:rsid w:val="00565BCB"/>
    <w:rsid w:val="00565E51"/>
    <w:rsid w:val="0056646D"/>
    <w:rsid w:val="0056670E"/>
    <w:rsid w:val="00566E49"/>
    <w:rsid w:val="0056771C"/>
    <w:rsid w:val="00567A21"/>
    <w:rsid w:val="00570921"/>
    <w:rsid w:val="00570B41"/>
    <w:rsid w:val="0057168B"/>
    <w:rsid w:val="00571C82"/>
    <w:rsid w:val="00571F51"/>
    <w:rsid w:val="005726FD"/>
    <w:rsid w:val="00572B32"/>
    <w:rsid w:val="00572F70"/>
    <w:rsid w:val="00573757"/>
    <w:rsid w:val="0057443A"/>
    <w:rsid w:val="00574955"/>
    <w:rsid w:val="00574EB0"/>
    <w:rsid w:val="00574F8A"/>
    <w:rsid w:val="005755C7"/>
    <w:rsid w:val="0057599C"/>
    <w:rsid w:val="00575CDD"/>
    <w:rsid w:val="00576905"/>
    <w:rsid w:val="00576F6B"/>
    <w:rsid w:val="005775B6"/>
    <w:rsid w:val="005777BA"/>
    <w:rsid w:val="00577E6A"/>
    <w:rsid w:val="00580095"/>
    <w:rsid w:val="00580812"/>
    <w:rsid w:val="00580E88"/>
    <w:rsid w:val="0058138C"/>
    <w:rsid w:val="005817FA"/>
    <w:rsid w:val="0058185F"/>
    <w:rsid w:val="00581BA0"/>
    <w:rsid w:val="0058216F"/>
    <w:rsid w:val="00582199"/>
    <w:rsid w:val="00582F8A"/>
    <w:rsid w:val="00583271"/>
    <w:rsid w:val="005842CF"/>
    <w:rsid w:val="00584854"/>
    <w:rsid w:val="00584A11"/>
    <w:rsid w:val="00584B3F"/>
    <w:rsid w:val="00584CB3"/>
    <w:rsid w:val="00585038"/>
    <w:rsid w:val="005859E3"/>
    <w:rsid w:val="00585E01"/>
    <w:rsid w:val="00586258"/>
    <w:rsid w:val="00586493"/>
    <w:rsid w:val="00586E56"/>
    <w:rsid w:val="005874FF"/>
    <w:rsid w:val="0059018F"/>
    <w:rsid w:val="0059042E"/>
    <w:rsid w:val="00591017"/>
    <w:rsid w:val="0059146F"/>
    <w:rsid w:val="00591697"/>
    <w:rsid w:val="00592224"/>
    <w:rsid w:val="00592367"/>
    <w:rsid w:val="00592F40"/>
    <w:rsid w:val="0059321E"/>
    <w:rsid w:val="00593AEE"/>
    <w:rsid w:val="00593B0B"/>
    <w:rsid w:val="00594114"/>
    <w:rsid w:val="00594944"/>
    <w:rsid w:val="00594F41"/>
    <w:rsid w:val="00594F57"/>
    <w:rsid w:val="00595ACA"/>
    <w:rsid w:val="00595C5D"/>
    <w:rsid w:val="00595F07"/>
    <w:rsid w:val="00596093"/>
    <w:rsid w:val="00597372"/>
    <w:rsid w:val="005973DE"/>
    <w:rsid w:val="00597BC2"/>
    <w:rsid w:val="00597BF0"/>
    <w:rsid w:val="005A046D"/>
    <w:rsid w:val="005A091D"/>
    <w:rsid w:val="005A0CDF"/>
    <w:rsid w:val="005A0DE9"/>
    <w:rsid w:val="005A0E55"/>
    <w:rsid w:val="005A1830"/>
    <w:rsid w:val="005A1870"/>
    <w:rsid w:val="005A1D44"/>
    <w:rsid w:val="005A2FE2"/>
    <w:rsid w:val="005A3A68"/>
    <w:rsid w:val="005A3AF4"/>
    <w:rsid w:val="005A3D27"/>
    <w:rsid w:val="005A403A"/>
    <w:rsid w:val="005A41DC"/>
    <w:rsid w:val="005A489F"/>
    <w:rsid w:val="005A4B32"/>
    <w:rsid w:val="005A51DF"/>
    <w:rsid w:val="005A5222"/>
    <w:rsid w:val="005A53C7"/>
    <w:rsid w:val="005A65E9"/>
    <w:rsid w:val="005A6E0C"/>
    <w:rsid w:val="005A788F"/>
    <w:rsid w:val="005A7C03"/>
    <w:rsid w:val="005A7EC2"/>
    <w:rsid w:val="005B06A7"/>
    <w:rsid w:val="005B126C"/>
    <w:rsid w:val="005B16A8"/>
    <w:rsid w:val="005B1CEC"/>
    <w:rsid w:val="005B205A"/>
    <w:rsid w:val="005B21BB"/>
    <w:rsid w:val="005B248F"/>
    <w:rsid w:val="005B378D"/>
    <w:rsid w:val="005B396A"/>
    <w:rsid w:val="005B4233"/>
    <w:rsid w:val="005B4744"/>
    <w:rsid w:val="005B4D12"/>
    <w:rsid w:val="005B4D38"/>
    <w:rsid w:val="005B4F70"/>
    <w:rsid w:val="005B5896"/>
    <w:rsid w:val="005B5E13"/>
    <w:rsid w:val="005B6188"/>
    <w:rsid w:val="005B7408"/>
    <w:rsid w:val="005B7589"/>
    <w:rsid w:val="005B773A"/>
    <w:rsid w:val="005B7825"/>
    <w:rsid w:val="005B7D6C"/>
    <w:rsid w:val="005C0793"/>
    <w:rsid w:val="005C08E7"/>
    <w:rsid w:val="005C0DA4"/>
    <w:rsid w:val="005C111F"/>
    <w:rsid w:val="005C18BA"/>
    <w:rsid w:val="005C1929"/>
    <w:rsid w:val="005C1956"/>
    <w:rsid w:val="005C19B3"/>
    <w:rsid w:val="005C25BB"/>
    <w:rsid w:val="005C2B1D"/>
    <w:rsid w:val="005C2C88"/>
    <w:rsid w:val="005C2CE2"/>
    <w:rsid w:val="005C33D8"/>
    <w:rsid w:val="005C395C"/>
    <w:rsid w:val="005C3A8C"/>
    <w:rsid w:val="005C3E8E"/>
    <w:rsid w:val="005C41CB"/>
    <w:rsid w:val="005C48AE"/>
    <w:rsid w:val="005C4928"/>
    <w:rsid w:val="005C4A1E"/>
    <w:rsid w:val="005C4D02"/>
    <w:rsid w:val="005C50B4"/>
    <w:rsid w:val="005C53A9"/>
    <w:rsid w:val="005C60F5"/>
    <w:rsid w:val="005C63FF"/>
    <w:rsid w:val="005C64C5"/>
    <w:rsid w:val="005C660E"/>
    <w:rsid w:val="005C6F4A"/>
    <w:rsid w:val="005C724F"/>
    <w:rsid w:val="005C7566"/>
    <w:rsid w:val="005D0243"/>
    <w:rsid w:val="005D078C"/>
    <w:rsid w:val="005D15E5"/>
    <w:rsid w:val="005D1BF6"/>
    <w:rsid w:val="005D28C9"/>
    <w:rsid w:val="005D3BF3"/>
    <w:rsid w:val="005D3E68"/>
    <w:rsid w:val="005D3EB6"/>
    <w:rsid w:val="005D4439"/>
    <w:rsid w:val="005D4571"/>
    <w:rsid w:val="005D4918"/>
    <w:rsid w:val="005D4BDB"/>
    <w:rsid w:val="005D6251"/>
    <w:rsid w:val="005D67A1"/>
    <w:rsid w:val="005D67E9"/>
    <w:rsid w:val="005D728B"/>
    <w:rsid w:val="005D7635"/>
    <w:rsid w:val="005D78C5"/>
    <w:rsid w:val="005D7DBE"/>
    <w:rsid w:val="005D7DD6"/>
    <w:rsid w:val="005E0293"/>
    <w:rsid w:val="005E041E"/>
    <w:rsid w:val="005E076B"/>
    <w:rsid w:val="005E11DA"/>
    <w:rsid w:val="005E2E21"/>
    <w:rsid w:val="005E3021"/>
    <w:rsid w:val="005E384F"/>
    <w:rsid w:val="005E3956"/>
    <w:rsid w:val="005E4458"/>
    <w:rsid w:val="005E486F"/>
    <w:rsid w:val="005E4D77"/>
    <w:rsid w:val="005E50FC"/>
    <w:rsid w:val="005E5E49"/>
    <w:rsid w:val="005E5EF8"/>
    <w:rsid w:val="005E63CF"/>
    <w:rsid w:val="005E6629"/>
    <w:rsid w:val="005E6D22"/>
    <w:rsid w:val="005E7817"/>
    <w:rsid w:val="005E7A03"/>
    <w:rsid w:val="005E7C7E"/>
    <w:rsid w:val="005F02F1"/>
    <w:rsid w:val="005F05CF"/>
    <w:rsid w:val="005F091F"/>
    <w:rsid w:val="005F122D"/>
    <w:rsid w:val="005F13E2"/>
    <w:rsid w:val="005F38C2"/>
    <w:rsid w:val="005F418F"/>
    <w:rsid w:val="005F424D"/>
    <w:rsid w:val="005F4746"/>
    <w:rsid w:val="005F4753"/>
    <w:rsid w:val="005F4D73"/>
    <w:rsid w:val="005F50EC"/>
    <w:rsid w:val="005F5144"/>
    <w:rsid w:val="005F5459"/>
    <w:rsid w:val="005F6383"/>
    <w:rsid w:val="005F65DC"/>
    <w:rsid w:val="005F7A10"/>
    <w:rsid w:val="005F7BD1"/>
    <w:rsid w:val="0060021E"/>
    <w:rsid w:val="006009B0"/>
    <w:rsid w:val="00600B73"/>
    <w:rsid w:val="0060116B"/>
    <w:rsid w:val="00601A48"/>
    <w:rsid w:val="00601AE1"/>
    <w:rsid w:val="00601B4C"/>
    <w:rsid w:val="00601BAD"/>
    <w:rsid w:val="00602BCF"/>
    <w:rsid w:val="00603179"/>
    <w:rsid w:val="006044FC"/>
    <w:rsid w:val="00604C39"/>
    <w:rsid w:val="006050B2"/>
    <w:rsid w:val="00605392"/>
    <w:rsid w:val="006055E7"/>
    <w:rsid w:val="00605D3A"/>
    <w:rsid w:val="006065FA"/>
    <w:rsid w:val="0061037A"/>
    <w:rsid w:val="00610634"/>
    <w:rsid w:val="00610659"/>
    <w:rsid w:val="006111FF"/>
    <w:rsid w:val="0061179F"/>
    <w:rsid w:val="00611ABB"/>
    <w:rsid w:val="006137AB"/>
    <w:rsid w:val="006138EA"/>
    <w:rsid w:val="00613C40"/>
    <w:rsid w:val="00613FE9"/>
    <w:rsid w:val="00614365"/>
    <w:rsid w:val="00614E11"/>
    <w:rsid w:val="00615CD3"/>
    <w:rsid w:val="00615FF7"/>
    <w:rsid w:val="00616597"/>
    <w:rsid w:val="00616B71"/>
    <w:rsid w:val="00616BFD"/>
    <w:rsid w:val="00617172"/>
    <w:rsid w:val="00617324"/>
    <w:rsid w:val="00617428"/>
    <w:rsid w:val="00617910"/>
    <w:rsid w:val="006202BE"/>
    <w:rsid w:val="00620724"/>
    <w:rsid w:val="00620DBB"/>
    <w:rsid w:val="006217B9"/>
    <w:rsid w:val="0062233D"/>
    <w:rsid w:val="0062249F"/>
    <w:rsid w:val="006228BF"/>
    <w:rsid w:val="00622A7F"/>
    <w:rsid w:val="00622A89"/>
    <w:rsid w:val="0062351D"/>
    <w:rsid w:val="006239C2"/>
    <w:rsid w:val="00623BC5"/>
    <w:rsid w:val="00623EBE"/>
    <w:rsid w:val="00624449"/>
    <w:rsid w:val="00624F2D"/>
    <w:rsid w:val="006254CD"/>
    <w:rsid w:val="00625539"/>
    <w:rsid w:val="00625699"/>
    <w:rsid w:val="00625871"/>
    <w:rsid w:val="00625E22"/>
    <w:rsid w:val="006260D2"/>
    <w:rsid w:val="00626971"/>
    <w:rsid w:val="0062709B"/>
    <w:rsid w:val="0062787C"/>
    <w:rsid w:val="00627B69"/>
    <w:rsid w:val="006308F5"/>
    <w:rsid w:val="0063170C"/>
    <w:rsid w:val="0063238B"/>
    <w:rsid w:val="00633367"/>
    <w:rsid w:val="00633478"/>
    <w:rsid w:val="006341B8"/>
    <w:rsid w:val="0063465D"/>
    <w:rsid w:val="006346E6"/>
    <w:rsid w:val="006347A7"/>
    <w:rsid w:val="00634CC8"/>
    <w:rsid w:val="00635320"/>
    <w:rsid w:val="006356C7"/>
    <w:rsid w:val="00635C59"/>
    <w:rsid w:val="00635F25"/>
    <w:rsid w:val="00636EA8"/>
    <w:rsid w:val="006371A0"/>
    <w:rsid w:val="00637313"/>
    <w:rsid w:val="0063731B"/>
    <w:rsid w:val="00637A1F"/>
    <w:rsid w:val="00640433"/>
    <w:rsid w:val="00640A57"/>
    <w:rsid w:val="00640B75"/>
    <w:rsid w:val="00640B82"/>
    <w:rsid w:val="00640BA7"/>
    <w:rsid w:val="00641008"/>
    <w:rsid w:val="006411F4"/>
    <w:rsid w:val="00641223"/>
    <w:rsid w:val="006423B3"/>
    <w:rsid w:val="00642466"/>
    <w:rsid w:val="00642A41"/>
    <w:rsid w:val="00643283"/>
    <w:rsid w:val="00643E46"/>
    <w:rsid w:val="00643FD5"/>
    <w:rsid w:val="006441E6"/>
    <w:rsid w:val="00644A9D"/>
    <w:rsid w:val="00644D54"/>
    <w:rsid w:val="00645488"/>
    <w:rsid w:val="006460FF"/>
    <w:rsid w:val="00646540"/>
    <w:rsid w:val="0064657C"/>
    <w:rsid w:val="00646CF9"/>
    <w:rsid w:val="00647648"/>
    <w:rsid w:val="00647DE6"/>
    <w:rsid w:val="0065083D"/>
    <w:rsid w:val="00650A1A"/>
    <w:rsid w:val="006511D4"/>
    <w:rsid w:val="00651482"/>
    <w:rsid w:val="0065241F"/>
    <w:rsid w:val="0065343B"/>
    <w:rsid w:val="00654041"/>
    <w:rsid w:val="00654553"/>
    <w:rsid w:val="00654CCA"/>
    <w:rsid w:val="00654EE2"/>
    <w:rsid w:val="00655126"/>
    <w:rsid w:val="006551E0"/>
    <w:rsid w:val="00655345"/>
    <w:rsid w:val="00655700"/>
    <w:rsid w:val="00655AEC"/>
    <w:rsid w:val="00655EEB"/>
    <w:rsid w:val="00656118"/>
    <w:rsid w:val="00656310"/>
    <w:rsid w:val="006566BD"/>
    <w:rsid w:val="00656ACA"/>
    <w:rsid w:val="00657E01"/>
    <w:rsid w:val="006600D6"/>
    <w:rsid w:val="00660483"/>
    <w:rsid w:val="0066073C"/>
    <w:rsid w:val="00660F4C"/>
    <w:rsid w:val="0066146A"/>
    <w:rsid w:val="00661472"/>
    <w:rsid w:val="006615EE"/>
    <w:rsid w:val="006618FC"/>
    <w:rsid w:val="00661EBB"/>
    <w:rsid w:val="00662A99"/>
    <w:rsid w:val="00662DB9"/>
    <w:rsid w:val="00662EBB"/>
    <w:rsid w:val="00662F20"/>
    <w:rsid w:val="0066337F"/>
    <w:rsid w:val="00663803"/>
    <w:rsid w:val="006639B6"/>
    <w:rsid w:val="00663E5D"/>
    <w:rsid w:val="0066419C"/>
    <w:rsid w:val="0066432E"/>
    <w:rsid w:val="00664916"/>
    <w:rsid w:val="00664D05"/>
    <w:rsid w:val="00665204"/>
    <w:rsid w:val="00665266"/>
    <w:rsid w:val="006660C3"/>
    <w:rsid w:val="006665C1"/>
    <w:rsid w:val="006665ED"/>
    <w:rsid w:val="00666A94"/>
    <w:rsid w:val="006675E2"/>
    <w:rsid w:val="006676EE"/>
    <w:rsid w:val="006679EC"/>
    <w:rsid w:val="00667A68"/>
    <w:rsid w:val="00667E5C"/>
    <w:rsid w:val="00671F04"/>
    <w:rsid w:val="00672176"/>
    <w:rsid w:val="00672540"/>
    <w:rsid w:val="00672C60"/>
    <w:rsid w:val="00673C59"/>
    <w:rsid w:val="00673CE1"/>
    <w:rsid w:val="00675024"/>
    <w:rsid w:val="0067537F"/>
    <w:rsid w:val="0067572C"/>
    <w:rsid w:val="00675E37"/>
    <w:rsid w:val="00676407"/>
    <w:rsid w:val="006769AF"/>
    <w:rsid w:val="006809CD"/>
    <w:rsid w:val="00680CD4"/>
    <w:rsid w:val="0068108A"/>
    <w:rsid w:val="006813F9"/>
    <w:rsid w:val="0068157A"/>
    <w:rsid w:val="00681850"/>
    <w:rsid w:val="006818D8"/>
    <w:rsid w:val="006827A4"/>
    <w:rsid w:val="00682C67"/>
    <w:rsid w:val="00682CAA"/>
    <w:rsid w:val="00683865"/>
    <w:rsid w:val="00683E80"/>
    <w:rsid w:val="00684040"/>
    <w:rsid w:val="00684AAF"/>
    <w:rsid w:val="00684B02"/>
    <w:rsid w:val="00684E95"/>
    <w:rsid w:val="006853D9"/>
    <w:rsid w:val="00686246"/>
    <w:rsid w:val="006866F5"/>
    <w:rsid w:val="00686D23"/>
    <w:rsid w:val="00687588"/>
    <w:rsid w:val="00687D92"/>
    <w:rsid w:val="0069011B"/>
    <w:rsid w:val="00690EB0"/>
    <w:rsid w:val="00691008"/>
    <w:rsid w:val="0069161E"/>
    <w:rsid w:val="00691D8D"/>
    <w:rsid w:val="006935AE"/>
    <w:rsid w:val="006947E4"/>
    <w:rsid w:val="0069496D"/>
    <w:rsid w:val="00694C6E"/>
    <w:rsid w:val="00694D38"/>
    <w:rsid w:val="00694F9B"/>
    <w:rsid w:val="006951D9"/>
    <w:rsid w:val="00695574"/>
    <w:rsid w:val="00695B14"/>
    <w:rsid w:val="00695C2E"/>
    <w:rsid w:val="00695DAC"/>
    <w:rsid w:val="0069734B"/>
    <w:rsid w:val="006975B0"/>
    <w:rsid w:val="00697721"/>
    <w:rsid w:val="00697D85"/>
    <w:rsid w:val="00697F14"/>
    <w:rsid w:val="006A0327"/>
    <w:rsid w:val="006A0C0C"/>
    <w:rsid w:val="006A10FC"/>
    <w:rsid w:val="006A136A"/>
    <w:rsid w:val="006A1B21"/>
    <w:rsid w:val="006A1BCC"/>
    <w:rsid w:val="006A2CE2"/>
    <w:rsid w:val="006A2D29"/>
    <w:rsid w:val="006A35B7"/>
    <w:rsid w:val="006A3D9D"/>
    <w:rsid w:val="006A3FC1"/>
    <w:rsid w:val="006A551D"/>
    <w:rsid w:val="006A5B55"/>
    <w:rsid w:val="006A62CF"/>
    <w:rsid w:val="006A640B"/>
    <w:rsid w:val="006A68E3"/>
    <w:rsid w:val="006A6B4B"/>
    <w:rsid w:val="006A6E57"/>
    <w:rsid w:val="006A7BC2"/>
    <w:rsid w:val="006A7BF5"/>
    <w:rsid w:val="006A7C48"/>
    <w:rsid w:val="006A7DE5"/>
    <w:rsid w:val="006B0962"/>
    <w:rsid w:val="006B0FA2"/>
    <w:rsid w:val="006B1B3A"/>
    <w:rsid w:val="006B25CE"/>
    <w:rsid w:val="006B37B5"/>
    <w:rsid w:val="006B3994"/>
    <w:rsid w:val="006B48B5"/>
    <w:rsid w:val="006B4D3D"/>
    <w:rsid w:val="006B607A"/>
    <w:rsid w:val="006B6B00"/>
    <w:rsid w:val="006B6CD0"/>
    <w:rsid w:val="006B701E"/>
    <w:rsid w:val="006B7CB2"/>
    <w:rsid w:val="006C0001"/>
    <w:rsid w:val="006C006D"/>
    <w:rsid w:val="006C05A5"/>
    <w:rsid w:val="006C08A0"/>
    <w:rsid w:val="006C0EE6"/>
    <w:rsid w:val="006C1057"/>
    <w:rsid w:val="006C1412"/>
    <w:rsid w:val="006C1AB9"/>
    <w:rsid w:val="006C20D8"/>
    <w:rsid w:val="006C233A"/>
    <w:rsid w:val="006C2A50"/>
    <w:rsid w:val="006C2B52"/>
    <w:rsid w:val="006C2C52"/>
    <w:rsid w:val="006C31FE"/>
    <w:rsid w:val="006C33E6"/>
    <w:rsid w:val="006C35C5"/>
    <w:rsid w:val="006C361B"/>
    <w:rsid w:val="006C3EB9"/>
    <w:rsid w:val="006C4164"/>
    <w:rsid w:val="006C452F"/>
    <w:rsid w:val="006C4B43"/>
    <w:rsid w:val="006C4CC2"/>
    <w:rsid w:val="006C51B4"/>
    <w:rsid w:val="006C5DC3"/>
    <w:rsid w:val="006C61D6"/>
    <w:rsid w:val="006C6742"/>
    <w:rsid w:val="006C747C"/>
    <w:rsid w:val="006C7ED5"/>
    <w:rsid w:val="006D00E6"/>
    <w:rsid w:val="006D01EA"/>
    <w:rsid w:val="006D0806"/>
    <w:rsid w:val="006D1660"/>
    <w:rsid w:val="006D1F4C"/>
    <w:rsid w:val="006D2311"/>
    <w:rsid w:val="006D2AAC"/>
    <w:rsid w:val="006D2D0B"/>
    <w:rsid w:val="006D2E6A"/>
    <w:rsid w:val="006D30B5"/>
    <w:rsid w:val="006D311B"/>
    <w:rsid w:val="006D3308"/>
    <w:rsid w:val="006D337B"/>
    <w:rsid w:val="006D3620"/>
    <w:rsid w:val="006D38CC"/>
    <w:rsid w:val="006D396E"/>
    <w:rsid w:val="006D3980"/>
    <w:rsid w:val="006D3B4D"/>
    <w:rsid w:val="006D4302"/>
    <w:rsid w:val="006D49E3"/>
    <w:rsid w:val="006D516F"/>
    <w:rsid w:val="006D5184"/>
    <w:rsid w:val="006D527E"/>
    <w:rsid w:val="006D5DC2"/>
    <w:rsid w:val="006D66C7"/>
    <w:rsid w:val="006D6A1A"/>
    <w:rsid w:val="006D6E55"/>
    <w:rsid w:val="006D6F68"/>
    <w:rsid w:val="006D7142"/>
    <w:rsid w:val="006D71BC"/>
    <w:rsid w:val="006D7675"/>
    <w:rsid w:val="006D7DCC"/>
    <w:rsid w:val="006E007C"/>
    <w:rsid w:val="006E0096"/>
    <w:rsid w:val="006E0680"/>
    <w:rsid w:val="006E0D3E"/>
    <w:rsid w:val="006E12FC"/>
    <w:rsid w:val="006E1E1A"/>
    <w:rsid w:val="006E24CA"/>
    <w:rsid w:val="006E2564"/>
    <w:rsid w:val="006E29D0"/>
    <w:rsid w:val="006E3561"/>
    <w:rsid w:val="006E35A7"/>
    <w:rsid w:val="006E3792"/>
    <w:rsid w:val="006E3B4B"/>
    <w:rsid w:val="006E3E56"/>
    <w:rsid w:val="006E42E9"/>
    <w:rsid w:val="006E49D9"/>
    <w:rsid w:val="006E4B3A"/>
    <w:rsid w:val="006E4CAF"/>
    <w:rsid w:val="006E4ED2"/>
    <w:rsid w:val="006E510F"/>
    <w:rsid w:val="006E5FC6"/>
    <w:rsid w:val="006E6B86"/>
    <w:rsid w:val="006E6D33"/>
    <w:rsid w:val="006E75ED"/>
    <w:rsid w:val="006F046C"/>
    <w:rsid w:val="006F0686"/>
    <w:rsid w:val="006F06A5"/>
    <w:rsid w:val="006F11DE"/>
    <w:rsid w:val="006F192B"/>
    <w:rsid w:val="006F1D86"/>
    <w:rsid w:val="006F1E21"/>
    <w:rsid w:val="006F21C2"/>
    <w:rsid w:val="006F2A17"/>
    <w:rsid w:val="006F2F88"/>
    <w:rsid w:val="006F324A"/>
    <w:rsid w:val="006F34AC"/>
    <w:rsid w:val="006F36F9"/>
    <w:rsid w:val="006F3B23"/>
    <w:rsid w:val="006F48F5"/>
    <w:rsid w:val="006F5A2B"/>
    <w:rsid w:val="006F670D"/>
    <w:rsid w:val="006F7023"/>
    <w:rsid w:val="006F7474"/>
    <w:rsid w:val="006F76F0"/>
    <w:rsid w:val="006F77B8"/>
    <w:rsid w:val="006F795D"/>
    <w:rsid w:val="006F7CA0"/>
    <w:rsid w:val="006F7D0A"/>
    <w:rsid w:val="006F7FF4"/>
    <w:rsid w:val="00700209"/>
    <w:rsid w:val="00700222"/>
    <w:rsid w:val="00700265"/>
    <w:rsid w:val="00700800"/>
    <w:rsid w:val="007008AF"/>
    <w:rsid w:val="007008E1"/>
    <w:rsid w:val="00701173"/>
    <w:rsid w:val="007015F4"/>
    <w:rsid w:val="007016AB"/>
    <w:rsid w:val="00702A42"/>
    <w:rsid w:val="00702CA9"/>
    <w:rsid w:val="00702E2C"/>
    <w:rsid w:val="00702EFC"/>
    <w:rsid w:val="0070306D"/>
    <w:rsid w:val="0070337A"/>
    <w:rsid w:val="0070431E"/>
    <w:rsid w:val="00704EE7"/>
    <w:rsid w:val="00704F3D"/>
    <w:rsid w:val="0070501B"/>
    <w:rsid w:val="007050F5"/>
    <w:rsid w:val="0070555A"/>
    <w:rsid w:val="007056F9"/>
    <w:rsid w:val="0070582B"/>
    <w:rsid w:val="00705C88"/>
    <w:rsid w:val="00706F9F"/>
    <w:rsid w:val="0071134D"/>
    <w:rsid w:val="007125D6"/>
    <w:rsid w:val="007128D2"/>
    <w:rsid w:val="00713142"/>
    <w:rsid w:val="00713153"/>
    <w:rsid w:val="007131B6"/>
    <w:rsid w:val="007132C9"/>
    <w:rsid w:val="00713AC6"/>
    <w:rsid w:val="00713E64"/>
    <w:rsid w:val="007147D2"/>
    <w:rsid w:val="00714E7C"/>
    <w:rsid w:val="00715669"/>
    <w:rsid w:val="007156E0"/>
    <w:rsid w:val="00715EA3"/>
    <w:rsid w:val="00716238"/>
    <w:rsid w:val="0071649C"/>
    <w:rsid w:val="0071699C"/>
    <w:rsid w:val="007172BD"/>
    <w:rsid w:val="0071797F"/>
    <w:rsid w:val="00717AEA"/>
    <w:rsid w:val="007204B0"/>
    <w:rsid w:val="0072085C"/>
    <w:rsid w:val="00720F2B"/>
    <w:rsid w:val="0072112E"/>
    <w:rsid w:val="00721201"/>
    <w:rsid w:val="007219CD"/>
    <w:rsid w:val="0072220C"/>
    <w:rsid w:val="007224AB"/>
    <w:rsid w:val="0072257A"/>
    <w:rsid w:val="00722CBF"/>
    <w:rsid w:val="00722E84"/>
    <w:rsid w:val="00723D9C"/>
    <w:rsid w:val="00724A86"/>
    <w:rsid w:val="00724B8D"/>
    <w:rsid w:val="0072559E"/>
    <w:rsid w:val="00725CD0"/>
    <w:rsid w:val="007260DE"/>
    <w:rsid w:val="007265FA"/>
    <w:rsid w:val="007270CD"/>
    <w:rsid w:val="00730053"/>
    <w:rsid w:val="00730433"/>
    <w:rsid w:val="0073053C"/>
    <w:rsid w:val="00730B24"/>
    <w:rsid w:val="00731907"/>
    <w:rsid w:val="00731973"/>
    <w:rsid w:val="007320A3"/>
    <w:rsid w:val="007325DC"/>
    <w:rsid w:val="0073265F"/>
    <w:rsid w:val="00733051"/>
    <w:rsid w:val="00733477"/>
    <w:rsid w:val="00734338"/>
    <w:rsid w:val="007352DD"/>
    <w:rsid w:val="007353DE"/>
    <w:rsid w:val="0073587B"/>
    <w:rsid w:val="00736636"/>
    <w:rsid w:val="007368E0"/>
    <w:rsid w:val="00736E13"/>
    <w:rsid w:val="00737022"/>
    <w:rsid w:val="007370F8"/>
    <w:rsid w:val="00737342"/>
    <w:rsid w:val="0073759A"/>
    <w:rsid w:val="00737924"/>
    <w:rsid w:val="007402A8"/>
    <w:rsid w:val="0074062F"/>
    <w:rsid w:val="007407DB"/>
    <w:rsid w:val="00740F40"/>
    <w:rsid w:val="00741211"/>
    <w:rsid w:val="00741AF2"/>
    <w:rsid w:val="00741EF7"/>
    <w:rsid w:val="00742198"/>
    <w:rsid w:val="00743C05"/>
    <w:rsid w:val="00744541"/>
    <w:rsid w:val="00744689"/>
    <w:rsid w:val="0074474C"/>
    <w:rsid w:val="007452FE"/>
    <w:rsid w:val="00746039"/>
    <w:rsid w:val="00746619"/>
    <w:rsid w:val="00746AAB"/>
    <w:rsid w:val="00747B47"/>
    <w:rsid w:val="00750E5E"/>
    <w:rsid w:val="007512AE"/>
    <w:rsid w:val="007516E3"/>
    <w:rsid w:val="00751E65"/>
    <w:rsid w:val="0075219A"/>
    <w:rsid w:val="007523FF"/>
    <w:rsid w:val="0075262F"/>
    <w:rsid w:val="0075266B"/>
    <w:rsid w:val="00752CA2"/>
    <w:rsid w:val="0075335A"/>
    <w:rsid w:val="007537CD"/>
    <w:rsid w:val="00754ABE"/>
    <w:rsid w:val="00754DCD"/>
    <w:rsid w:val="00754F8C"/>
    <w:rsid w:val="00755960"/>
    <w:rsid w:val="007559D3"/>
    <w:rsid w:val="0075609D"/>
    <w:rsid w:val="007565FA"/>
    <w:rsid w:val="00756795"/>
    <w:rsid w:val="00756827"/>
    <w:rsid w:val="00756D5B"/>
    <w:rsid w:val="0075701E"/>
    <w:rsid w:val="007579A6"/>
    <w:rsid w:val="00757FA3"/>
    <w:rsid w:val="0076059C"/>
    <w:rsid w:val="00760D0B"/>
    <w:rsid w:val="0076173E"/>
    <w:rsid w:val="0076194E"/>
    <w:rsid w:val="00761AD4"/>
    <w:rsid w:val="00761D03"/>
    <w:rsid w:val="00763559"/>
    <w:rsid w:val="007635AE"/>
    <w:rsid w:val="00763B72"/>
    <w:rsid w:val="00763F12"/>
    <w:rsid w:val="0076438E"/>
    <w:rsid w:val="00764ACA"/>
    <w:rsid w:val="00765042"/>
    <w:rsid w:val="007655D7"/>
    <w:rsid w:val="00765934"/>
    <w:rsid w:val="00765C74"/>
    <w:rsid w:val="00765DD6"/>
    <w:rsid w:val="007668B8"/>
    <w:rsid w:val="00767786"/>
    <w:rsid w:val="0076793C"/>
    <w:rsid w:val="00767E76"/>
    <w:rsid w:val="00770F7D"/>
    <w:rsid w:val="00771D00"/>
    <w:rsid w:val="00771E86"/>
    <w:rsid w:val="007726B2"/>
    <w:rsid w:val="00773C6E"/>
    <w:rsid w:val="00773FCF"/>
    <w:rsid w:val="00774586"/>
    <w:rsid w:val="00775211"/>
    <w:rsid w:val="0077532B"/>
    <w:rsid w:val="00775732"/>
    <w:rsid w:val="00776355"/>
    <w:rsid w:val="007763CF"/>
    <w:rsid w:val="00776452"/>
    <w:rsid w:val="00776542"/>
    <w:rsid w:val="00776807"/>
    <w:rsid w:val="007768DB"/>
    <w:rsid w:val="0077752D"/>
    <w:rsid w:val="0077789B"/>
    <w:rsid w:val="00777D88"/>
    <w:rsid w:val="0078062F"/>
    <w:rsid w:val="0078100B"/>
    <w:rsid w:val="00781999"/>
    <w:rsid w:val="00781C05"/>
    <w:rsid w:val="00781FBE"/>
    <w:rsid w:val="00782115"/>
    <w:rsid w:val="00782285"/>
    <w:rsid w:val="007823C1"/>
    <w:rsid w:val="007827E7"/>
    <w:rsid w:val="0078288C"/>
    <w:rsid w:val="007833A8"/>
    <w:rsid w:val="00783584"/>
    <w:rsid w:val="0078378E"/>
    <w:rsid w:val="00783A2F"/>
    <w:rsid w:val="00784BCB"/>
    <w:rsid w:val="00784EA6"/>
    <w:rsid w:val="00785226"/>
    <w:rsid w:val="007857FF"/>
    <w:rsid w:val="00786177"/>
    <w:rsid w:val="0078630B"/>
    <w:rsid w:val="00786371"/>
    <w:rsid w:val="0078654C"/>
    <w:rsid w:val="007867A8"/>
    <w:rsid w:val="0078680C"/>
    <w:rsid w:val="00786A56"/>
    <w:rsid w:val="00786A78"/>
    <w:rsid w:val="00787893"/>
    <w:rsid w:val="0079028E"/>
    <w:rsid w:val="007902B0"/>
    <w:rsid w:val="00790672"/>
    <w:rsid w:val="007908FC"/>
    <w:rsid w:val="00790E16"/>
    <w:rsid w:val="00790F4B"/>
    <w:rsid w:val="00791167"/>
    <w:rsid w:val="0079135B"/>
    <w:rsid w:val="00791558"/>
    <w:rsid w:val="0079163D"/>
    <w:rsid w:val="0079187F"/>
    <w:rsid w:val="0079188E"/>
    <w:rsid w:val="00791A68"/>
    <w:rsid w:val="00792AF4"/>
    <w:rsid w:val="00793DE0"/>
    <w:rsid w:val="00793ED3"/>
    <w:rsid w:val="00795125"/>
    <w:rsid w:val="00795783"/>
    <w:rsid w:val="00795D07"/>
    <w:rsid w:val="007969C5"/>
    <w:rsid w:val="007969F4"/>
    <w:rsid w:val="007970A5"/>
    <w:rsid w:val="00797362"/>
    <w:rsid w:val="007975D6"/>
    <w:rsid w:val="00797706"/>
    <w:rsid w:val="007A09D8"/>
    <w:rsid w:val="007A0C82"/>
    <w:rsid w:val="007A1547"/>
    <w:rsid w:val="007A17AC"/>
    <w:rsid w:val="007A1FFE"/>
    <w:rsid w:val="007A23A3"/>
    <w:rsid w:val="007A24CB"/>
    <w:rsid w:val="007A26AD"/>
    <w:rsid w:val="007A2FA6"/>
    <w:rsid w:val="007A357A"/>
    <w:rsid w:val="007A35D1"/>
    <w:rsid w:val="007A3A6D"/>
    <w:rsid w:val="007A3ACF"/>
    <w:rsid w:val="007A45F4"/>
    <w:rsid w:val="007A4963"/>
    <w:rsid w:val="007A4AEB"/>
    <w:rsid w:val="007A5DFC"/>
    <w:rsid w:val="007A6418"/>
    <w:rsid w:val="007A6DBA"/>
    <w:rsid w:val="007A702F"/>
    <w:rsid w:val="007A7587"/>
    <w:rsid w:val="007A77CD"/>
    <w:rsid w:val="007B011E"/>
    <w:rsid w:val="007B03C7"/>
    <w:rsid w:val="007B0AAD"/>
    <w:rsid w:val="007B1066"/>
    <w:rsid w:val="007B179A"/>
    <w:rsid w:val="007B1807"/>
    <w:rsid w:val="007B19A4"/>
    <w:rsid w:val="007B2702"/>
    <w:rsid w:val="007B28E0"/>
    <w:rsid w:val="007B2958"/>
    <w:rsid w:val="007B2F13"/>
    <w:rsid w:val="007B3B56"/>
    <w:rsid w:val="007B4392"/>
    <w:rsid w:val="007B590F"/>
    <w:rsid w:val="007B5C71"/>
    <w:rsid w:val="007B6400"/>
    <w:rsid w:val="007B653B"/>
    <w:rsid w:val="007B66D5"/>
    <w:rsid w:val="007B6A18"/>
    <w:rsid w:val="007B6A9E"/>
    <w:rsid w:val="007B7351"/>
    <w:rsid w:val="007B755D"/>
    <w:rsid w:val="007B7584"/>
    <w:rsid w:val="007C05CB"/>
    <w:rsid w:val="007C090B"/>
    <w:rsid w:val="007C0F83"/>
    <w:rsid w:val="007C11DF"/>
    <w:rsid w:val="007C1275"/>
    <w:rsid w:val="007C1BA3"/>
    <w:rsid w:val="007C1CE3"/>
    <w:rsid w:val="007C2898"/>
    <w:rsid w:val="007C30FD"/>
    <w:rsid w:val="007C365D"/>
    <w:rsid w:val="007C3EE5"/>
    <w:rsid w:val="007C50D3"/>
    <w:rsid w:val="007C52D8"/>
    <w:rsid w:val="007C56F3"/>
    <w:rsid w:val="007C56F7"/>
    <w:rsid w:val="007C5BA0"/>
    <w:rsid w:val="007C60F7"/>
    <w:rsid w:val="007C64EC"/>
    <w:rsid w:val="007C665D"/>
    <w:rsid w:val="007C67C0"/>
    <w:rsid w:val="007C6D13"/>
    <w:rsid w:val="007C6F97"/>
    <w:rsid w:val="007C7607"/>
    <w:rsid w:val="007C77EC"/>
    <w:rsid w:val="007C79AB"/>
    <w:rsid w:val="007C7A05"/>
    <w:rsid w:val="007C7C91"/>
    <w:rsid w:val="007D03AD"/>
    <w:rsid w:val="007D06B7"/>
    <w:rsid w:val="007D0D75"/>
    <w:rsid w:val="007D143E"/>
    <w:rsid w:val="007D1A2D"/>
    <w:rsid w:val="007D2175"/>
    <w:rsid w:val="007D2B7D"/>
    <w:rsid w:val="007D2BF2"/>
    <w:rsid w:val="007D37D9"/>
    <w:rsid w:val="007D4A67"/>
    <w:rsid w:val="007D5D2B"/>
    <w:rsid w:val="007D6218"/>
    <w:rsid w:val="007D6B3E"/>
    <w:rsid w:val="007D79DD"/>
    <w:rsid w:val="007D7C69"/>
    <w:rsid w:val="007E0045"/>
    <w:rsid w:val="007E010E"/>
    <w:rsid w:val="007E02B9"/>
    <w:rsid w:val="007E0801"/>
    <w:rsid w:val="007E0DF8"/>
    <w:rsid w:val="007E140E"/>
    <w:rsid w:val="007E1587"/>
    <w:rsid w:val="007E1877"/>
    <w:rsid w:val="007E1D0E"/>
    <w:rsid w:val="007E1D1B"/>
    <w:rsid w:val="007E28B4"/>
    <w:rsid w:val="007E2A88"/>
    <w:rsid w:val="007E31AE"/>
    <w:rsid w:val="007E3F33"/>
    <w:rsid w:val="007E4881"/>
    <w:rsid w:val="007E5268"/>
    <w:rsid w:val="007E52CD"/>
    <w:rsid w:val="007E53A0"/>
    <w:rsid w:val="007E56B5"/>
    <w:rsid w:val="007E5A52"/>
    <w:rsid w:val="007E5C17"/>
    <w:rsid w:val="007E6320"/>
    <w:rsid w:val="007E640C"/>
    <w:rsid w:val="007E6FAB"/>
    <w:rsid w:val="007E77D7"/>
    <w:rsid w:val="007F0215"/>
    <w:rsid w:val="007F1443"/>
    <w:rsid w:val="007F1BF6"/>
    <w:rsid w:val="007F20BF"/>
    <w:rsid w:val="007F29FA"/>
    <w:rsid w:val="007F2A1D"/>
    <w:rsid w:val="007F3BCB"/>
    <w:rsid w:val="007F4595"/>
    <w:rsid w:val="007F468E"/>
    <w:rsid w:val="007F4BC7"/>
    <w:rsid w:val="007F6577"/>
    <w:rsid w:val="007F6917"/>
    <w:rsid w:val="007F6CCD"/>
    <w:rsid w:val="007F735A"/>
    <w:rsid w:val="007F7832"/>
    <w:rsid w:val="007F7A8C"/>
    <w:rsid w:val="007F7FFE"/>
    <w:rsid w:val="00800757"/>
    <w:rsid w:val="00800770"/>
    <w:rsid w:val="00800E79"/>
    <w:rsid w:val="00801A4C"/>
    <w:rsid w:val="0080250E"/>
    <w:rsid w:val="0080293A"/>
    <w:rsid w:val="0080297E"/>
    <w:rsid w:val="008038D0"/>
    <w:rsid w:val="00804033"/>
    <w:rsid w:val="008047FA"/>
    <w:rsid w:val="00804A5F"/>
    <w:rsid w:val="00804DA0"/>
    <w:rsid w:val="00805570"/>
    <w:rsid w:val="00805637"/>
    <w:rsid w:val="00805A80"/>
    <w:rsid w:val="00805C10"/>
    <w:rsid w:val="00805FB0"/>
    <w:rsid w:val="00806E5F"/>
    <w:rsid w:val="00807183"/>
    <w:rsid w:val="00807639"/>
    <w:rsid w:val="008079E4"/>
    <w:rsid w:val="00807D13"/>
    <w:rsid w:val="008102F9"/>
    <w:rsid w:val="00810EBB"/>
    <w:rsid w:val="00810FC6"/>
    <w:rsid w:val="0081110E"/>
    <w:rsid w:val="00811A78"/>
    <w:rsid w:val="00811D18"/>
    <w:rsid w:val="00811E63"/>
    <w:rsid w:val="00812361"/>
    <w:rsid w:val="008125D6"/>
    <w:rsid w:val="008127F9"/>
    <w:rsid w:val="00812CF5"/>
    <w:rsid w:val="00813272"/>
    <w:rsid w:val="0081382D"/>
    <w:rsid w:val="00813E9F"/>
    <w:rsid w:val="008142DF"/>
    <w:rsid w:val="00814767"/>
    <w:rsid w:val="00815097"/>
    <w:rsid w:val="008150A1"/>
    <w:rsid w:val="008151C3"/>
    <w:rsid w:val="008151D2"/>
    <w:rsid w:val="00815206"/>
    <w:rsid w:val="00815903"/>
    <w:rsid w:val="00815DA1"/>
    <w:rsid w:val="00815E9C"/>
    <w:rsid w:val="00816512"/>
    <w:rsid w:val="00816A8A"/>
    <w:rsid w:val="00817D82"/>
    <w:rsid w:val="00817FBD"/>
    <w:rsid w:val="0082089F"/>
    <w:rsid w:val="00821B19"/>
    <w:rsid w:val="008220FD"/>
    <w:rsid w:val="00822794"/>
    <w:rsid w:val="00823992"/>
    <w:rsid w:val="00823AD8"/>
    <w:rsid w:val="00823D3D"/>
    <w:rsid w:val="00824065"/>
    <w:rsid w:val="00824685"/>
    <w:rsid w:val="0082503C"/>
    <w:rsid w:val="00825200"/>
    <w:rsid w:val="00825299"/>
    <w:rsid w:val="0082598A"/>
    <w:rsid w:val="008259D0"/>
    <w:rsid w:val="00825C1A"/>
    <w:rsid w:val="00825EBE"/>
    <w:rsid w:val="00826047"/>
    <w:rsid w:val="008267D8"/>
    <w:rsid w:val="0082681A"/>
    <w:rsid w:val="008269D8"/>
    <w:rsid w:val="00826EF7"/>
    <w:rsid w:val="008271D1"/>
    <w:rsid w:val="00827493"/>
    <w:rsid w:val="00830677"/>
    <w:rsid w:val="00832035"/>
    <w:rsid w:val="00832896"/>
    <w:rsid w:val="008334B4"/>
    <w:rsid w:val="00833518"/>
    <w:rsid w:val="0083376B"/>
    <w:rsid w:val="008353FA"/>
    <w:rsid w:val="0083544F"/>
    <w:rsid w:val="00835890"/>
    <w:rsid w:val="008364DE"/>
    <w:rsid w:val="00836D32"/>
    <w:rsid w:val="00836F5B"/>
    <w:rsid w:val="00837826"/>
    <w:rsid w:val="0084047B"/>
    <w:rsid w:val="00840999"/>
    <w:rsid w:val="00840E4E"/>
    <w:rsid w:val="00841210"/>
    <w:rsid w:val="008414DE"/>
    <w:rsid w:val="00841FD5"/>
    <w:rsid w:val="00842216"/>
    <w:rsid w:val="00842A7D"/>
    <w:rsid w:val="00842A8E"/>
    <w:rsid w:val="00842CAB"/>
    <w:rsid w:val="00842DED"/>
    <w:rsid w:val="00842F3C"/>
    <w:rsid w:val="00843020"/>
    <w:rsid w:val="008434B3"/>
    <w:rsid w:val="00843AA7"/>
    <w:rsid w:val="008445C8"/>
    <w:rsid w:val="00845274"/>
    <w:rsid w:val="00845CCE"/>
    <w:rsid w:val="00846291"/>
    <w:rsid w:val="0084641A"/>
    <w:rsid w:val="00846626"/>
    <w:rsid w:val="00846856"/>
    <w:rsid w:val="00846BB7"/>
    <w:rsid w:val="00846E08"/>
    <w:rsid w:val="00847443"/>
    <w:rsid w:val="00847834"/>
    <w:rsid w:val="008501CC"/>
    <w:rsid w:val="008505D4"/>
    <w:rsid w:val="008520AE"/>
    <w:rsid w:val="008522A2"/>
    <w:rsid w:val="008522E2"/>
    <w:rsid w:val="00852A26"/>
    <w:rsid w:val="00852A89"/>
    <w:rsid w:val="00853345"/>
    <w:rsid w:val="00853790"/>
    <w:rsid w:val="00853AA2"/>
    <w:rsid w:val="00853FC1"/>
    <w:rsid w:val="008548AC"/>
    <w:rsid w:val="00854BD6"/>
    <w:rsid w:val="008568C6"/>
    <w:rsid w:val="0085733B"/>
    <w:rsid w:val="0085747A"/>
    <w:rsid w:val="00860045"/>
    <w:rsid w:val="00860500"/>
    <w:rsid w:val="0086074C"/>
    <w:rsid w:val="0086095D"/>
    <w:rsid w:val="00860A98"/>
    <w:rsid w:val="0086114A"/>
    <w:rsid w:val="0086133B"/>
    <w:rsid w:val="00861A5F"/>
    <w:rsid w:val="0086249F"/>
    <w:rsid w:val="008628B5"/>
    <w:rsid w:val="008629D5"/>
    <w:rsid w:val="00862F0E"/>
    <w:rsid w:val="00863BFB"/>
    <w:rsid w:val="00863DF9"/>
    <w:rsid w:val="00864209"/>
    <w:rsid w:val="00864418"/>
    <w:rsid w:val="00864916"/>
    <w:rsid w:val="00864CAF"/>
    <w:rsid w:val="00865098"/>
    <w:rsid w:val="00865713"/>
    <w:rsid w:val="00865C4B"/>
    <w:rsid w:val="008664DB"/>
    <w:rsid w:val="0086741A"/>
    <w:rsid w:val="00867525"/>
    <w:rsid w:val="0086766D"/>
    <w:rsid w:val="00867676"/>
    <w:rsid w:val="00867A2C"/>
    <w:rsid w:val="00867BAB"/>
    <w:rsid w:val="00867F03"/>
    <w:rsid w:val="0087069D"/>
    <w:rsid w:val="00871F05"/>
    <w:rsid w:val="00872207"/>
    <w:rsid w:val="00872901"/>
    <w:rsid w:val="00873314"/>
    <w:rsid w:val="00873382"/>
    <w:rsid w:val="0087382D"/>
    <w:rsid w:val="008742E3"/>
    <w:rsid w:val="00874718"/>
    <w:rsid w:val="00875684"/>
    <w:rsid w:val="00875F4F"/>
    <w:rsid w:val="00876D14"/>
    <w:rsid w:val="008771AE"/>
    <w:rsid w:val="0087753E"/>
    <w:rsid w:val="008779C8"/>
    <w:rsid w:val="00880176"/>
    <w:rsid w:val="00880A94"/>
    <w:rsid w:val="00880AAE"/>
    <w:rsid w:val="00880B18"/>
    <w:rsid w:val="00880D84"/>
    <w:rsid w:val="00880DB9"/>
    <w:rsid w:val="008810E0"/>
    <w:rsid w:val="008819A1"/>
    <w:rsid w:val="00881B41"/>
    <w:rsid w:val="00881CA0"/>
    <w:rsid w:val="00882460"/>
    <w:rsid w:val="008824B9"/>
    <w:rsid w:val="0088296F"/>
    <w:rsid w:val="00882D69"/>
    <w:rsid w:val="0088315D"/>
    <w:rsid w:val="008834E5"/>
    <w:rsid w:val="00884205"/>
    <w:rsid w:val="00884596"/>
    <w:rsid w:val="00884C36"/>
    <w:rsid w:val="00885190"/>
    <w:rsid w:val="0088615E"/>
    <w:rsid w:val="00886287"/>
    <w:rsid w:val="00886BB5"/>
    <w:rsid w:val="0089003B"/>
    <w:rsid w:val="008900A4"/>
    <w:rsid w:val="0089085E"/>
    <w:rsid w:val="00891F5B"/>
    <w:rsid w:val="008920CF"/>
    <w:rsid w:val="008928E3"/>
    <w:rsid w:val="00892ACF"/>
    <w:rsid w:val="0089319A"/>
    <w:rsid w:val="00894260"/>
    <w:rsid w:val="008945C5"/>
    <w:rsid w:val="008964D1"/>
    <w:rsid w:val="00896592"/>
    <w:rsid w:val="0089662E"/>
    <w:rsid w:val="008966C0"/>
    <w:rsid w:val="00896CFE"/>
    <w:rsid w:val="00897950"/>
    <w:rsid w:val="008A0A7A"/>
    <w:rsid w:val="008A0DB2"/>
    <w:rsid w:val="008A0DC6"/>
    <w:rsid w:val="008A153F"/>
    <w:rsid w:val="008A16F2"/>
    <w:rsid w:val="008A1CDB"/>
    <w:rsid w:val="008A1CFE"/>
    <w:rsid w:val="008A24C9"/>
    <w:rsid w:val="008A27CA"/>
    <w:rsid w:val="008A2DEE"/>
    <w:rsid w:val="008A2FFF"/>
    <w:rsid w:val="008A3089"/>
    <w:rsid w:val="008A3827"/>
    <w:rsid w:val="008A4535"/>
    <w:rsid w:val="008A622D"/>
    <w:rsid w:val="008A6255"/>
    <w:rsid w:val="008A6419"/>
    <w:rsid w:val="008A6644"/>
    <w:rsid w:val="008A6BB4"/>
    <w:rsid w:val="008A7793"/>
    <w:rsid w:val="008A77FC"/>
    <w:rsid w:val="008A7B1A"/>
    <w:rsid w:val="008B17B6"/>
    <w:rsid w:val="008B1AD4"/>
    <w:rsid w:val="008B1E31"/>
    <w:rsid w:val="008B2203"/>
    <w:rsid w:val="008B22A3"/>
    <w:rsid w:val="008B2B52"/>
    <w:rsid w:val="008B4247"/>
    <w:rsid w:val="008B57D4"/>
    <w:rsid w:val="008B58EE"/>
    <w:rsid w:val="008B5BFB"/>
    <w:rsid w:val="008B6471"/>
    <w:rsid w:val="008B6BB6"/>
    <w:rsid w:val="008B6EC3"/>
    <w:rsid w:val="008B786E"/>
    <w:rsid w:val="008B7A44"/>
    <w:rsid w:val="008B7AD7"/>
    <w:rsid w:val="008C0193"/>
    <w:rsid w:val="008C06DF"/>
    <w:rsid w:val="008C0C7C"/>
    <w:rsid w:val="008C0CB6"/>
    <w:rsid w:val="008C102E"/>
    <w:rsid w:val="008C10B9"/>
    <w:rsid w:val="008C1160"/>
    <w:rsid w:val="008C19AD"/>
    <w:rsid w:val="008C1B02"/>
    <w:rsid w:val="008C1CB1"/>
    <w:rsid w:val="008C2014"/>
    <w:rsid w:val="008C2043"/>
    <w:rsid w:val="008C287B"/>
    <w:rsid w:val="008C2BAF"/>
    <w:rsid w:val="008C328F"/>
    <w:rsid w:val="008C36B9"/>
    <w:rsid w:val="008C3C6C"/>
    <w:rsid w:val="008C4002"/>
    <w:rsid w:val="008C4810"/>
    <w:rsid w:val="008C523D"/>
    <w:rsid w:val="008C5AAA"/>
    <w:rsid w:val="008C6F68"/>
    <w:rsid w:val="008C70F9"/>
    <w:rsid w:val="008C76B6"/>
    <w:rsid w:val="008C77CC"/>
    <w:rsid w:val="008D018F"/>
    <w:rsid w:val="008D0656"/>
    <w:rsid w:val="008D0E46"/>
    <w:rsid w:val="008D1B24"/>
    <w:rsid w:val="008D256D"/>
    <w:rsid w:val="008D2C32"/>
    <w:rsid w:val="008D2D51"/>
    <w:rsid w:val="008D32E5"/>
    <w:rsid w:val="008D334C"/>
    <w:rsid w:val="008D3A45"/>
    <w:rsid w:val="008D3E8A"/>
    <w:rsid w:val="008D42F4"/>
    <w:rsid w:val="008D46BB"/>
    <w:rsid w:val="008D493F"/>
    <w:rsid w:val="008D4E65"/>
    <w:rsid w:val="008D4F76"/>
    <w:rsid w:val="008D52A2"/>
    <w:rsid w:val="008D551A"/>
    <w:rsid w:val="008D57B6"/>
    <w:rsid w:val="008D5FAA"/>
    <w:rsid w:val="008D6656"/>
    <w:rsid w:val="008D6A06"/>
    <w:rsid w:val="008D73F8"/>
    <w:rsid w:val="008D77EC"/>
    <w:rsid w:val="008D7A78"/>
    <w:rsid w:val="008E05A3"/>
    <w:rsid w:val="008E10DD"/>
    <w:rsid w:val="008E1539"/>
    <w:rsid w:val="008E18A3"/>
    <w:rsid w:val="008E1EA4"/>
    <w:rsid w:val="008E1F33"/>
    <w:rsid w:val="008E2902"/>
    <w:rsid w:val="008E3791"/>
    <w:rsid w:val="008E474B"/>
    <w:rsid w:val="008E48C9"/>
    <w:rsid w:val="008E4FFD"/>
    <w:rsid w:val="008E5595"/>
    <w:rsid w:val="008E55C9"/>
    <w:rsid w:val="008E5A2F"/>
    <w:rsid w:val="008E5C2A"/>
    <w:rsid w:val="008E649E"/>
    <w:rsid w:val="008E661C"/>
    <w:rsid w:val="008E66F8"/>
    <w:rsid w:val="008E6A6B"/>
    <w:rsid w:val="008E6AEF"/>
    <w:rsid w:val="008E739D"/>
    <w:rsid w:val="008E7BF0"/>
    <w:rsid w:val="008E7D9C"/>
    <w:rsid w:val="008F00F9"/>
    <w:rsid w:val="008F02A3"/>
    <w:rsid w:val="008F03A9"/>
    <w:rsid w:val="008F0449"/>
    <w:rsid w:val="008F0502"/>
    <w:rsid w:val="008F0ECF"/>
    <w:rsid w:val="008F0F95"/>
    <w:rsid w:val="008F1171"/>
    <w:rsid w:val="008F1A81"/>
    <w:rsid w:val="008F23C4"/>
    <w:rsid w:val="008F253E"/>
    <w:rsid w:val="008F2B56"/>
    <w:rsid w:val="008F32CA"/>
    <w:rsid w:val="008F35FE"/>
    <w:rsid w:val="008F3682"/>
    <w:rsid w:val="008F373E"/>
    <w:rsid w:val="008F3F6E"/>
    <w:rsid w:val="008F421A"/>
    <w:rsid w:val="008F4335"/>
    <w:rsid w:val="008F4FA0"/>
    <w:rsid w:val="008F503D"/>
    <w:rsid w:val="008F618F"/>
    <w:rsid w:val="008F75E3"/>
    <w:rsid w:val="008F78C9"/>
    <w:rsid w:val="008F7D7C"/>
    <w:rsid w:val="00900276"/>
    <w:rsid w:val="0090050E"/>
    <w:rsid w:val="00900A43"/>
    <w:rsid w:val="00900ADF"/>
    <w:rsid w:val="00900F2B"/>
    <w:rsid w:val="00901475"/>
    <w:rsid w:val="00902991"/>
    <w:rsid w:val="00902A0A"/>
    <w:rsid w:val="00902FFC"/>
    <w:rsid w:val="00903479"/>
    <w:rsid w:val="00903B43"/>
    <w:rsid w:val="0090436A"/>
    <w:rsid w:val="009057BD"/>
    <w:rsid w:val="009059FD"/>
    <w:rsid w:val="00905FFD"/>
    <w:rsid w:val="0090641F"/>
    <w:rsid w:val="00906473"/>
    <w:rsid w:val="00906A50"/>
    <w:rsid w:val="00907162"/>
    <w:rsid w:val="00910476"/>
    <w:rsid w:val="0091056F"/>
    <w:rsid w:val="00910881"/>
    <w:rsid w:val="00910CC9"/>
    <w:rsid w:val="00911426"/>
    <w:rsid w:val="00911675"/>
    <w:rsid w:val="00911D27"/>
    <w:rsid w:val="00912F3A"/>
    <w:rsid w:val="00913113"/>
    <w:rsid w:val="00913767"/>
    <w:rsid w:val="00913821"/>
    <w:rsid w:val="00914705"/>
    <w:rsid w:val="0091492D"/>
    <w:rsid w:val="00914E73"/>
    <w:rsid w:val="00915521"/>
    <w:rsid w:val="00915C82"/>
    <w:rsid w:val="00916231"/>
    <w:rsid w:val="0091639F"/>
    <w:rsid w:val="009169BC"/>
    <w:rsid w:val="00917B64"/>
    <w:rsid w:val="00920451"/>
    <w:rsid w:val="0092105D"/>
    <w:rsid w:val="009210B2"/>
    <w:rsid w:val="00921EA1"/>
    <w:rsid w:val="00922F1A"/>
    <w:rsid w:val="00923836"/>
    <w:rsid w:val="00923C7E"/>
    <w:rsid w:val="009241C1"/>
    <w:rsid w:val="00925079"/>
    <w:rsid w:val="00925090"/>
    <w:rsid w:val="009253A7"/>
    <w:rsid w:val="009259CD"/>
    <w:rsid w:val="00925CB5"/>
    <w:rsid w:val="00926CB5"/>
    <w:rsid w:val="00926FE8"/>
    <w:rsid w:val="0092722C"/>
    <w:rsid w:val="00927277"/>
    <w:rsid w:val="00930690"/>
    <w:rsid w:val="00930BA4"/>
    <w:rsid w:val="00930CD7"/>
    <w:rsid w:val="00931C97"/>
    <w:rsid w:val="00932226"/>
    <w:rsid w:val="00932261"/>
    <w:rsid w:val="00932289"/>
    <w:rsid w:val="00932C7B"/>
    <w:rsid w:val="0093393F"/>
    <w:rsid w:val="00933ED8"/>
    <w:rsid w:val="00934280"/>
    <w:rsid w:val="00934CF3"/>
    <w:rsid w:val="00935123"/>
    <w:rsid w:val="00936600"/>
    <w:rsid w:val="00936895"/>
    <w:rsid w:val="00937230"/>
    <w:rsid w:val="00937232"/>
    <w:rsid w:val="009373E4"/>
    <w:rsid w:val="00940607"/>
    <w:rsid w:val="00940CDB"/>
    <w:rsid w:val="009415DF"/>
    <w:rsid w:val="0094164B"/>
    <w:rsid w:val="00941778"/>
    <w:rsid w:val="00941F6B"/>
    <w:rsid w:val="0094239F"/>
    <w:rsid w:val="00943583"/>
    <w:rsid w:val="00943784"/>
    <w:rsid w:val="009439B2"/>
    <w:rsid w:val="00943B3B"/>
    <w:rsid w:val="00943BE6"/>
    <w:rsid w:val="00943DAB"/>
    <w:rsid w:val="00944055"/>
    <w:rsid w:val="009444A0"/>
    <w:rsid w:val="00944E64"/>
    <w:rsid w:val="009453B6"/>
    <w:rsid w:val="00945C14"/>
    <w:rsid w:val="009469DE"/>
    <w:rsid w:val="00946AF8"/>
    <w:rsid w:val="00946CE7"/>
    <w:rsid w:val="00947720"/>
    <w:rsid w:val="00947BFA"/>
    <w:rsid w:val="009502CA"/>
    <w:rsid w:val="009504C7"/>
    <w:rsid w:val="00950EF0"/>
    <w:rsid w:val="0095196B"/>
    <w:rsid w:val="00952164"/>
    <w:rsid w:val="00953416"/>
    <w:rsid w:val="0095365F"/>
    <w:rsid w:val="00953891"/>
    <w:rsid w:val="00953A85"/>
    <w:rsid w:val="00953C27"/>
    <w:rsid w:val="00954DC2"/>
    <w:rsid w:val="0095532B"/>
    <w:rsid w:val="009554AE"/>
    <w:rsid w:val="0095567D"/>
    <w:rsid w:val="00955734"/>
    <w:rsid w:val="00955760"/>
    <w:rsid w:val="00955AAD"/>
    <w:rsid w:val="0095618E"/>
    <w:rsid w:val="009561C1"/>
    <w:rsid w:val="00956421"/>
    <w:rsid w:val="00956501"/>
    <w:rsid w:val="0095683C"/>
    <w:rsid w:val="00956888"/>
    <w:rsid w:val="00957889"/>
    <w:rsid w:val="00957CBA"/>
    <w:rsid w:val="00957FE2"/>
    <w:rsid w:val="0096023B"/>
    <w:rsid w:val="009606D3"/>
    <w:rsid w:val="00960901"/>
    <w:rsid w:val="00960A80"/>
    <w:rsid w:val="0096131E"/>
    <w:rsid w:val="009616DB"/>
    <w:rsid w:val="00961CCC"/>
    <w:rsid w:val="00962221"/>
    <w:rsid w:val="00962667"/>
    <w:rsid w:val="009626C8"/>
    <w:rsid w:val="00962C18"/>
    <w:rsid w:val="00963525"/>
    <w:rsid w:val="0096389A"/>
    <w:rsid w:val="00963EB2"/>
    <w:rsid w:val="009643EF"/>
    <w:rsid w:val="0096475A"/>
    <w:rsid w:val="0096494E"/>
    <w:rsid w:val="00964AF8"/>
    <w:rsid w:val="00965193"/>
    <w:rsid w:val="00965892"/>
    <w:rsid w:val="00965BD4"/>
    <w:rsid w:val="00966636"/>
    <w:rsid w:val="00966C55"/>
    <w:rsid w:val="00970C18"/>
    <w:rsid w:val="00970F08"/>
    <w:rsid w:val="009712E3"/>
    <w:rsid w:val="00971534"/>
    <w:rsid w:val="00971DCF"/>
    <w:rsid w:val="009724BB"/>
    <w:rsid w:val="00972E60"/>
    <w:rsid w:val="009734D3"/>
    <w:rsid w:val="00974537"/>
    <w:rsid w:val="009761E2"/>
    <w:rsid w:val="009763EC"/>
    <w:rsid w:val="0097647E"/>
    <w:rsid w:val="00976D85"/>
    <w:rsid w:val="00976E73"/>
    <w:rsid w:val="00977A57"/>
    <w:rsid w:val="00977DF5"/>
    <w:rsid w:val="00980198"/>
    <w:rsid w:val="00980394"/>
    <w:rsid w:val="0098071D"/>
    <w:rsid w:val="00980756"/>
    <w:rsid w:val="00980CAF"/>
    <w:rsid w:val="009818EB"/>
    <w:rsid w:val="0098215F"/>
    <w:rsid w:val="009823F1"/>
    <w:rsid w:val="00982E95"/>
    <w:rsid w:val="00983BAF"/>
    <w:rsid w:val="00983D44"/>
    <w:rsid w:val="00983E8A"/>
    <w:rsid w:val="00984173"/>
    <w:rsid w:val="00984D59"/>
    <w:rsid w:val="0098535B"/>
    <w:rsid w:val="00985949"/>
    <w:rsid w:val="00985A34"/>
    <w:rsid w:val="00986238"/>
    <w:rsid w:val="009867C3"/>
    <w:rsid w:val="00986B8E"/>
    <w:rsid w:val="00990881"/>
    <w:rsid w:val="00990BD5"/>
    <w:rsid w:val="009911EF"/>
    <w:rsid w:val="009914F7"/>
    <w:rsid w:val="0099169A"/>
    <w:rsid w:val="00991D28"/>
    <w:rsid w:val="0099244D"/>
    <w:rsid w:val="00992FE5"/>
    <w:rsid w:val="0099366C"/>
    <w:rsid w:val="00993DAC"/>
    <w:rsid w:val="00994138"/>
    <w:rsid w:val="009946FD"/>
    <w:rsid w:val="00994808"/>
    <w:rsid w:val="0099561C"/>
    <w:rsid w:val="00995F44"/>
    <w:rsid w:val="00996C44"/>
    <w:rsid w:val="00997E34"/>
    <w:rsid w:val="009A0597"/>
    <w:rsid w:val="009A0DA7"/>
    <w:rsid w:val="009A0F91"/>
    <w:rsid w:val="009A1042"/>
    <w:rsid w:val="009A172D"/>
    <w:rsid w:val="009A1805"/>
    <w:rsid w:val="009A1B3C"/>
    <w:rsid w:val="009A1B95"/>
    <w:rsid w:val="009A21E9"/>
    <w:rsid w:val="009A2255"/>
    <w:rsid w:val="009A2C90"/>
    <w:rsid w:val="009A2E20"/>
    <w:rsid w:val="009A322D"/>
    <w:rsid w:val="009A3312"/>
    <w:rsid w:val="009A3CDD"/>
    <w:rsid w:val="009A428E"/>
    <w:rsid w:val="009A4638"/>
    <w:rsid w:val="009A49F0"/>
    <w:rsid w:val="009A54F6"/>
    <w:rsid w:val="009A57E6"/>
    <w:rsid w:val="009A5A9E"/>
    <w:rsid w:val="009A6786"/>
    <w:rsid w:val="009A6C5C"/>
    <w:rsid w:val="009A6E29"/>
    <w:rsid w:val="009A7106"/>
    <w:rsid w:val="009A717A"/>
    <w:rsid w:val="009A7B2B"/>
    <w:rsid w:val="009A7F26"/>
    <w:rsid w:val="009A7F7E"/>
    <w:rsid w:val="009A7FED"/>
    <w:rsid w:val="009B039E"/>
    <w:rsid w:val="009B09A2"/>
    <w:rsid w:val="009B0BE7"/>
    <w:rsid w:val="009B111F"/>
    <w:rsid w:val="009B138C"/>
    <w:rsid w:val="009B15A1"/>
    <w:rsid w:val="009B1824"/>
    <w:rsid w:val="009B1D04"/>
    <w:rsid w:val="009B2075"/>
    <w:rsid w:val="009B2180"/>
    <w:rsid w:val="009B2FCC"/>
    <w:rsid w:val="009B3A2D"/>
    <w:rsid w:val="009B3B00"/>
    <w:rsid w:val="009B407A"/>
    <w:rsid w:val="009B4AA6"/>
    <w:rsid w:val="009B4C99"/>
    <w:rsid w:val="009B58C9"/>
    <w:rsid w:val="009B5A11"/>
    <w:rsid w:val="009B5B9E"/>
    <w:rsid w:val="009B5C1B"/>
    <w:rsid w:val="009B5D5A"/>
    <w:rsid w:val="009B64EE"/>
    <w:rsid w:val="009B6F06"/>
    <w:rsid w:val="009B7229"/>
    <w:rsid w:val="009B7652"/>
    <w:rsid w:val="009B7819"/>
    <w:rsid w:val="009B7CBC"/>
    <w:rsid w:val="009B7D22"/>
    <w:rsid w:val="009B7EFB"/>
    <w:rsid w:val="009C03AF"/>
    <w:rsid w:val="009C0B32"/>
    <w:rsid w:val="009C0D4C"/>
    <w:rsid w:val="009C0E5F"/>
    <w:rsid w:val="009C104F"/>
    <w:rsid w:val="009C140A"/>
    <w:rsid w:val="009C2CB6"/>
    <w:rsid w:val="009C2D20"/>
    <w:rsid w:val="009C2D7F"/>
    <w:rsid w:val="009C2E8F"/>
    <w:rsid w:val="009C3505"/>
    <w:rsid w:val="009C3745"/>
    <w:rsid w:val="009C3EFE"/>
    <w:rsid w:val="009C41F7"/>
    <w:rsid w:val="009C5183"/>
    <w:rsid w:val="009C52E4"/>
    <w:rsid w:val="009C547E"/>
    <w:rsid w:val="009C5C47"/>
    <w:rsid w:val="009C5FD8"/>
    <w:rsid w:val="009C61B9"/>
    <w:rsid w:val="009C6B31"/>
    <w:rsid w:val="009C742C"/>
    <w:rsid w:val="009C765F"/>
    <w:rsid w:val="009C7927"/>
    <w:rsid w:val="009D016B"/>
    <w:rsid w:val="009D031F"/>
    <w:rsid w:val="009D0D4E"/>
    <w:rsid w:val="009D1AA3"/>
    <w:rsid w:val="009D1F57"/>
    <w:rsid w:val="009D1F5C"/>
    <w:rsid w:val="009D2204"/>
    <w:rsid w:val="009D2861"/>
    <w:rsid w:val="009D2D2D"/>
    <w:rsid w:val="009D2EDA"/>
    <w:rsid w:val="009D31B5"/>
    <w:rsid w:val="009D3C85"/>
    <w:rsid w:val="009D41A7"/>
    <w:rsid w:val="009D46D7"/>
    <w:rsid w:val="009D476F"/>
    <w:rsid w:val="009D4B3A"/>
    <w:rsid w:val="009D4B87"/>
    <w:rsid w:val="009D56A5"/>
    <w:rsid w:val="009D56AE"/>
    <w:rsid w:val="009D5D53"/>
    <w:rsid w:val="009D696A"/>
    <w:rsid w:val="009D6E28"/>
    <w:rsid w:val="009D6F50"/>
    <w:rsid w:val="009D7289"/>
    <w:rsid w:val="009D7420"/>
    <w:rsid w:val="009D7706"/>
    <w:rsid w:val="009D7818"/>
    <w:rsid w:val="009D7833"/>
    <w:rsid w:val="009E02A6"/>
    <w:rsid w:val="009E11EE"/>
    <w:rsid w:val="009E15A8"/>
    <w:rsid w:val="009E1836"/>
    <w:rsid w:val="009E1B0A"/>
    <w:rsid w:val="009E22A4"/>
    <w:rsid w:val="009E23E9"/>
    <w:rsid w:val="009E266A"/>
    <w:rsid w:val="009E28AE"/>
    <w:rsid w:val="009E314E"/>
    <w:rsid w:val="009E3DC8"/>
    <w:rsid w:val="009E40F9"/>
    <w:rsid w:val="009E4602"/>
    <w:rsid w:val="009E54C2"/>
    <w:rsid w:val="009E5AED"/>
    <w:rsid w:val="009E5D05"/>
    <w:rsid w:val="009E6DCA"/>
    <w:rsid w:val="009E7450"/>
    <w:rsid w:val="009E7C7A"/>
    <w:rsid w:val="009F0055"/>
    <w:rsid w:val="009F07CC"/>
    <w:rsid w:val="009F09AB"/>
    <w:rsid w:val="009F0AE7"/>
    <w:rsid w:val="009F0BF9"/>
    <w:rsid w:val="009F0C14"/>
    <w:rsid w:val="009F108D"/>
    <w:rsid w:val="009F16B2"/>
    <w:rsid w:val="009F18CE"/>
    <w:rsid w:val="009F1A02"/>
    <w:rsid w:val="009F1AB3"/>
    <w:rsid w:val="009F1D27"/>
    <w:rsid w:val="009F20E9"/>
    <w:rsid w:val="009F21AE"/>
    <w:rsid w:val="009F27C6"/>
    <w:rsid w:val="009F2874"/>
    <w:rsid w:val="009F2963"/>
    <w:rsid w:val="009F2AA3"/>
    <w:rsid w:val="009F2EBC"/>
    <w:rsid w:val="009F33C6"/>
    <w:rsid w:val="009F39BC"/>
    <w:rsid w:val="009F3AB9"/>
    <w:rsid w:val="009F3AC7"/>
    <w:rsid w:val="009F43D8"/>
    <w:rsid w:val="009F45F5"/>
    <w:rsid w:val="009F5511"/>
    <w:rsid w:val="009F5625"/>
    <w:rsid w:val="009F5F55"/>
    <w:rsid w:val="009F6811"/>
    <w:rsid w:val="009F6D4F"/>
    <w:rsid w:val="009F6D6D"/>
    <w:rsid w:val="009F71CD"/>
    <w:rsid w:val="009F76D6"/>
    <w:rsid w:val="00A0083B"/>
    <w:rsid w:val="00A00A4E"/>
    <w:rsid w:val="00A00B9C"/>
    <w:rsid w:val="00A012A5"/>
    <w:rsid w:val="00A03965"/>
    <w:rsid w:val="00A040BE"/>
    <w:rsid w:val="00A0424B"/>
    <w:rsid w:val="00A045C1"/>
    <w:rsid w:val="00A04675"/>
    <w:rsid w:val="00A04C9F"/>
    <w:rsid w:val="00A04DB8"/>
    <w:rsid w:val="00A04E02"/>
    <w:rsid w:val="00A05291"/>
    <w:rsid w:val="00A05D14"/>
    <w:rsid w:val="00A068F3"/>
    <w:rsid w:val="00A06A89"/>
    <w:rsid w:val="00A07C09"/>
    <w:rsid w:val="00A114FB"/>
    <w:rsid w:val="00A11C0A"/>
    <w:rsid w:val="00A125F0"/>
    <w:rsid w:val="00A12622"/>
    <w:rsid w:val="00A12738"/>
    <w:rsid w:val="00A127B8"/>
    <w:rsid w:val="00A12E4F"/>
    <w:rsid w:val="00A12EB6"/>
    <w:rsid w:val="00A135BE"/>
    <w:rsid w:val="00A1392F"/>
    <w:rsid w:val="00A139FF"/>
    <w:rsid w:val="00A13C99"/>
    <w:rsid w:val="00A13CC3"/>
    <w:rsid w:val="00A13ED1"/>
    <w:rsid w:val="00A1418E"/>
    <w:rsid w:val="00A14D81"/>
    <w:rsid w:val="00A15756"/>
    <w:rsid w:val="00A15A1D"/>
    <w:rsid w:val="00A16AA8"/>
    <w:rsid w:val="00A16B00"/>
    <w:rsid w:val="00A16CE2"/>
    <w:rsid w:val="00A16D09"/>
    <w:rsid w:val="00A16F4D"/>
    <w:rsid w:val="00A17084"/>
    <w:rsid w:val="00A17417"/>
    <w:rsid w:val="00A17868"/>
    <w:rsid w:val="00A1790E"/>
    <w:rsid w:val="00A17AAB"/>
    <w:rsid w:val="00A17F31"/>
    <w:rsid w:val="00A20630"/>
    <w:rsid w:val="00A20A97"/>
    <w:rsid w:val="00A21044"/>
    <w:rsid w:val="00A21B2B"/>
    <w:rsid w:val="00A22056"/>
    <w:rsid w:val="00A223C9"/>
    <w:rsid w:val="00A22CB2"/>
    <w:rsid w:val="00A22CD0"/>
    <w:rsid w:val="00A23550"/>
    <w:rsid w:val="00A236F5"/>
    <w:rsid w:val="00A23DF2"/>
    <w:rsid w:val="00A2407D"/>
    <w:rsid w:val="00A247EE"/>
    <w:rsid w:val="00A259D2"/>
    <w:rsid w:val="00A25B0F"/>
    <w:rsid w:val="00A25BC2"/>
    <w:rsid w:val="00A25CF3"/>
    <w:rsid w:val="00A266DE"/>
    <w:rsid w:val="00A26766"/>
    <w:rsid w:val="00A26778"/>
    <w:rsid w:val="00A27113"/>
    <w:rsid w:val="00A2711A"/>
    <w:rsid w:val="00A27420"/>
    <w:rsid w:val="00A27865"/>
    <w:rsid w:val="00A278F2"/>
    <w:rsid w:val="00A27B8B"/>
    <w:rsid w:val="00A30923"/>
    <w:rsid w:val="00A3193E"/>
    <w:rsid w:val="00A32738"/>
    <w:rsid w:val="00A3277D"/>
    <w:rsid w:val="00A32B81"/>
    <w:rsid w:val="00A3383E"/>
    <w:rsid w:val="00A33C02"/>
    <w:rsid w:val="00A34827"/>
    <w:rsid w:val="00A353CC"/>
    <w:rsid w:val="00A354BE"/>
    <w:rsid w:val="00A357DD"/>
    <w:rsid w:val="00A35C98"/>
    <w:rsid w:val="00A36AF2"/>
    <w:rsid w:val="00A3735E"/>
    <w:rsid w:val="00A37A11"/>
    <w:rsid w:val="00A37EE5"/>
    <w:rsid w:val="00A40442"/>
    <w:rsid w:val="00A404EA"/>
    <w:rsid w:val="00A40C3A"/>
    <w:rsid w:val="00A40D84"/>
    <w:rsid w:val="00A411C8"/>
    <w:rsid w:val="00A41266"/>
    <w:rsid w:val="00A41ECC"/>
    <w:rsid w:val="00A42129"/>
    <w:rsid w:val="00A42314"/>
    <w:rsid w:val="00A42405"/>
    <w:rsid w:val="00A42479"/>
    <w:rsid w:val="00A425CA"/>
    <w:rsid w:val="00A42F62"/>
    <w:rsid w:val="00A42FED"/>
    <w:rsid w:val="00A4343D"/>
    <w:rsid w:val="00A43500"/>
    <w:rsid w:val="00A43582"/>
    <w:rsid w:val="00A437A2"/>
    <w:rsid w:val="00A4396C"/>
    <w:rsid w:val="00A43A61"/>
    <w:rsid w:val="00A440EA"/>
    <w:rsid w:val="00A4460D"/>
    <w:rsid w:val="00A447BA"/>
    <w:rsid w:val="00A45826"/>
    <w:rsid w:val="00A458D3"/>
    <w:rsid w:val="00A46068"/>
    <w:rsid w:val="00A460EE"/>
    <w:rsid w:val="00A46805"/>
    <w:rsid w:val="00A474A3"/>
    <w:rsid w:val="00A5057E"/>
    <w:rsid w:val="00A51916"/>
    <w:rsid w:val="00A51AF2"/>
    <w:rsid w:val="00A51D8E"/>
    <w:rsid w:val="00A52707"/>
    <w:rsid w:val="00A52897"/>
    <w:rsid w:val="00A5331A"/>
    <w:rsid w:val="00A533A3"/>
    <w:rsid w:val="00A54347"/>
    <w:rsid w:val="00A558E9"/>
    <w:rsid w:val="00A561D3"/>
    <w:rsid w:val="00A568CB"/>
    <w:rsid w:val="00A568D7"/>
    <w:rsid w:val="00A57016"/>
    <w:rsid w:val="00A57541"/>
    <w:rsid w:val="00A57B39"/>
    <w:rsid w:val="00A57FA8"/>
    <w:rsid w:val="00A60406"/>
    <w:rsid w:val="00A60D2F"/>
    <w:rsid w:val="00A60D6A"/>
    <w:rsid w:val="00A613E1"/>
    <w:rsid w:val="00A627B0"/>
    <w:rsid w:val="00A62A8B"/>
    <w:rsid w:val="00A62A90"/>
    <w:rsid w:val="00A62FA6"/>
    <w:rsid w:val="00A63896"/>
    <w:rsid w:val="00A639C8"/>
    <w:rsid w:val="00A6404D"/>
    <w:rsid w:val="00A6406A"/>
    <w:rsid w:val="00A642B0"/>
    <w:rsid w:val="00A6476A"/>
    <w:rsid w:val="00A64A19"/>
    <w:rsid w:val="00A65245"/>
    <w:rsid w:val="00A652D1"/>
    <w:rsid w:val="00A6536A"/>
    <w:rsid w:val="00A6541E"/>
    <w:rsid w:val="00A65472"/>
    <w:rsid w:val="00A65D77"/>
    <w:rsid w:val="00A6616A"/>
    <w:rsid w:val="00A6672F"/>
    <w:rsid w:val="00A668AB"/>
    <w:rsid w:val="00A668F3"/>
    <w:rsid w:val="00A67732"/>
    <w:rsid w:val="00A67FD8"/>
    <w:rsid w:val="00A7049C"/>
    <w:rsid w:val="00A70D13"/>
    <w:rsid w:val="00A71304"/>
    <w:rsid w:val="00A71608"/>
    <w:rsid w:val="00A71D85"/>
    <w:rsid w:val="00A71F44"/>
    <w:rsid w:val="00A72DA3"/>
    <w:rsid w:val="00A72DB2"/>
    <w:rsid w:val="00A72DBD"/>
    <w:rsid w:val="00A7313B"/>
    <w:rsid w:val="00A73451"/>
    <w:rsid w:val="00A73AC0"/>
    <w:rsid w:val="00A73D04"/>
    <w:rsid w:val="00A74619"/>
    <w:rsid w:val="00A74A9B"/>
    <w:rsid w:val="00A74D90"/>
    <w:rsid w:val="00A74F22"/>
    <w:rsid w:val="00A75342"/>
    <w:rsid w:val="00A7587E"/>
    <w:rsid w:val="00A75A00"/>
    <w:rsid w:val="00A75E20"/>
    <w:rsid w:val="00A76590"/>
    <w:rsid w:val="00A76F36"/>
    <w:rsid w:val="00A76F5E"/>
    <w:rsid w:val="00A77052"/>
    <w:rsid w:val="00A77271"/>
    <w:rsid w:val="00A77733"/>
    <w:rsid w:val="00A80000"/>
    <w:rsid w:val="00A80135"/>
    <w:rsid w:val="00A80531"/>
    <w:rsid w:val="00A815E2"/>
    <w:rsid w:val="00A81951"/>
    <w:rsid w:val="00A81B6B"/>
    <w:rsid w:val="00A81BBD"/>
    <w:rsid w:val="00A81F71"/>
    <w:rsid w:val="00A82540"/>
    <w:rsid w:val="00A82684"/>
    <w:rsid w:val="00A8381C"/>
    <w:rsid w:val="00A83913"/>
    <w:rsid w:val="00A849E8"/>
    <w:rsid w:val="00A85682"/>
    <w:rsid w:val="00A85944"/>
    <w:rsid w:val="00A85CB7"/>
    <w:rsid w:val="00A85E3E"/>
    <w:rsid w:val="00A86125"/>
    <w:rsid w:val="00A86852"/>
    <w:rsid w:val="00A86D12"/>
    <w:rsid w:val="00A8777C"/>
    <w:rsid w:val="00A879E1"/>
    <w:rsid w:val="00A90261"/>
    <w:rsid w:val="00A902F4"/>
    <w:rsid w:val="00A90A7C"/>
    <w:rsid w:val="00A91180"/>
    <w:rsid w:val="00A91AF6"/>
    <w:rsid w:val="00A928A7"/>
    <w:rsid w:val="00A92F7B"/>
    <w:rsid w:val="00A93C89"/>
    <w:rsid w:val="00A93D07"/>
    <w:rsid w:val="00A94012"/>
    <w:rsid w:val="00A94B41"/>
    <w:rsid w:val="00A94CE8"/>
    <w:rsid w:val="00A9536C"/>
    <w:rsid w:val="00A958BF"/>
    <w:rsid w:val="00A958D4"/>
    <w:rsid w:val="00A95CFF"/>
    <w:rsid w:val="00A96201"/>
    <w:rsid w:val="00A968DB"/>
    <w:rsid w:val="00A97138"/>
    <w:rsid w:val="00A976B4"/>
    <w:rsid w:val="00A979D6"/>
    <w:rsid w:val="00A97DC7"/>
    <w:rsid w:val="00A97DDE"/>
    <w:rsid w:val="00AA025F"/>
    <w:rsid w:val="00AA0462"/>
    <w:rsid w:val="00AA0523"/>
    <w:rsid w:val="00AA0A20"/>
    <w:rsid w:val="00AA0ADE"/>
    <w:rsid w:val="00AA0C35"/>
    <w:rsid w:val="00AA0C96"/>
    <w:rsid w:val="00AA1D7E"/>
    <w:rsid w:val="00AA2B6A"/>
    <w:rsid w:val="00AA2CCB"/>
    <w:rsid w:val="00AA33C0"/>
    <w:rsid w:val="00AA373E"/>
    <w:rsid w:val="00AA3BA9"/>
    <w:rsid w:val="00AA4733"/>
    <w:rsid w:val="00AA48BF"/>
    <w:rsid w:val="00AA54D0"/>
    <w:rsid w:val="00AA5E10"/>
    <w:rsid w:val="00AA6469"/>
    <w:rsid w:val="00AA6738"/>
    <w:rsid w:val="00AA6941"/>
    <w:rsid w:val="00AA7CA2"/>
    <w:rsid w:val="00AA7CD3"/>
    <w:rsid w:val="00AB0174"/>
    <w:rsid w:val="00AB04E8"/>
    <w:rsid w:val="00AB0594"/>
    <w:rsid w:val="00AB07E1"/>
    <w:rsid w:val="00AB0DC5"/>
    <w:rsid w:val="00AB1380"/>
    <w:rsid w:val="00AB1392"/>
    <w:rsid w:val="00AB1418"/>
    <w:rsid w:val="00AB1F9E"/>
    <w:rsid w:val="00AB2166"/>
    <w:rsid w:val="00AB2894"/>
    <w:rsid w:val="00AB2AC1"/>
    <w:rsid w:val="00AB2DEB"/>
    <w:rsid w:val="00AB396E"/>
    <w:rsid w:val="00AB3EF3"/>
    <w:rsid w:val="00AB42FA"/>
    <w:rsid w:val="00AB43D9"/>
    <w:rsid w:val="00AB44F1"/>
    <w:rsid w:val="00AB4ACD"/>
    <w:rsid w:val="00AB4BD4"/>
    <w:rsid w:val="00AB4F66"/>
    <w:rsid w:val="00AB59DE"/>
    <w:rsid w:val="00AB5AD6"/>
    <w:rsid w:val="00AB6B92"/>
    <w:rsid w:val="00AB7419"/>
    <w:rsid w:val="00AB7439"/>
    <w:rsid w:val="00AB7C45"/>
    <w:rsid w:val="00AC0390"/>
    <w:rsid w:val="00AC0A7B"/>
    <w:rsid w:val="00AC127F"/>
    <w:rsid w:val="00AC134B"/>
    <w:rsid w:val="00AC150D"/>
    <w:rsid w:val="00AC19E3"/>
    <w:rsid w:val="00AC213B"/>
    <w:rsid w:val="00AC234A"/>
    <w:rsid w:val="00AC26E1"/>
    <w:rsid w:val="00AC2AE7"/>
    <w:rsid w:val="00AC3A5C"/>
    <w:rsid w:val="00AC4F18"/>
    <w:rsid w:val="00AC525C"/>
    <w:rsid w:val="00AC52A7"/>
    <w:rsid w:val="00AC572A"/>
    <w:rsid w:val="00AC5E2F"/>
    <w:rsid w:val="00AC7734"/>
    <w:rsid w:val="00AC7BC0"/>
    <w:rsid w:val="00AC7C0F"/>
    <w:rsid w:val="00AC7ED4"/>
    <w:rsid w:val="00AD02CA"/>
    <w:rsid w:val="00AD0373"/>
    <w:rsid w:val="00AD0A14"/>
    <w:rsid w:val="00AD0CDB"/>
    <w:rsid w:val="00AD0DD4"/>
    <w:rsid w:val="00AD36C2"/>
    <w:rsid w:val="00AD3DF0"/>
    <w:rsid w:val="00AD4AF0"/>
    <w:rsid w:val="00AD5177"/>
    <w:rsid w:val="00AD57B2"/>
    <w:rsid w:val="00AD5DD9"/>
    <w:rsid w:val="00AD6557"/>
    <w:rsid w:val="00AD675B"/>
    <w:rsid w:val="00AD698D"/>
    <w:rsid w:val="00AD7A3D"/>
    <w:rsid w:val="00AD7CCC"/>
    <w:rsid w:val="00AE041F"/>
    <w:rsid w:val="00AE0979"/>
    <w:rsid w:val="00AE1171"/>
    <w:rsid w:val="00AE13FB"/>
    <w:rsid w:val="00AE1A31"/>
    <w:rsid w:val="00AE2619"/>
    <w:rsid w:val="00AE266B"/>
    <w:rsid w:val="00AE278D"/>
    <w:rsid w:val="00AE2F4F"/>
    <w:rsid w:val="00AE33D3"/>
    <w:rsid w:val="00AE349E"/>
    <w:rsid w:val="00AE3955"/>
    <w:rsid w:val="00AE39F3"/>
    <w:rsid w:val="00AE3BE2"/>
    <w:rsid w:val="00AE3E4E"/>
    <w:rsid w:val="00AE3FB9"/>
    <w:rsid w:val="00AE4E11"/>
    <w:rsid w:val="00AE53BF"/>
    <w:rsid w:val="00AE5EE2"/>
    <w:rsid w:val="00AE665C"/>
    <w:rsid w:val="00AE69DA"/>
    <w:rsid w:val="00AE6BF3"/>
    <w:rsid w:val="00AE6BFF"/>
    <w:rsid w:val="00AE6DAA"/>
    <w:rsid w:val="00AF0080"/>
    <w:rsid w:val="00AF096D"/>
    <w:rsid w:val="00AF0B8F"/>
    <w:rsid w:val="00AF0EFE"/>
    <w:rsid w:val="00AF107E"/>
    <w:rsid w:val="00AF1290"/>
    <w:rsid w:val="00AF17A7"/>
    <w:rsid w:val="00AF1A47"/>
    <w:rsid w:val="00AF2A15"/>
    <w:rsid w:val="00AF2C9A"/>
    <w:rsid w:val="00AF3011"/>
    <w:rsid w:val="00AF33A1"/>
    <w:rsid w:val="00AF3790"/>
    <w:rsid w:val="00AF4581"/>
    <w:rsid w:val="00AF55D4"/>
    <w:rsid w:val="00AF58CC"/>
    <w:rsid w:val="00AF6044"/>
    <w:rsid w:val="00AF62E9"/>
    <w:rsid w:val="00AF6E72"/>
    <w:rsid w:val="00AF72BE"/>
    <w:rsid w:val="00AF72C5"/>
    <w:rsid w:val="00AF7625"/>
    <w:rsid w:val="00AF7651"/>
    <w:rsid w:val="00B00288"/>
    <w:rsid w:val="00B00442"/>
    <w:rsid w:val="00B00518"/>
    <w:rsid w:val="00B00682"/>
    <w:rsid w:val="00B009AB"/>
    <w:rsid w:val="00B015E1"/>
    <w:rsid w:val="00B018E8"/>
    <w:rsid w:val="00B01991"/>
    <w:rsid w:val="00B020B1"/>
    <w:rsid w:val="00B043BF"/>
    <w:rsid w:val="00B04765"/>
    <w:rsid w:val="00B04D13"/>
    <w:rsid w:val="00B04FFE"/>
    <w:rsid w:val="00B0594B"/>
    <w:rsid w:val="00B05CDB"/>
    <w:rsid w:val="00B06922"/>
    <w:rsid w:val="00B0780E"/>
    <w:rsid w:val="00B07B63"/>
    <w:rsid w:val="00B107A5"/>
    <w:rsid w:val="00B10E28"/>
    <w:rsid w:val="00B11788"/>
    <w:rsid w:val="00B11D82"/>
    <w:rsid w:val="00B122EA"/>
    <w:rsid w:val="00B12D95"/>
    <w:rsid w:val="00B13494"/>
    <w:rsid w:val="00B13913"/>
    <w:rsid w:val="00B13960"/>
    <w:rsid w:val="00B13BB7"/>
    <w:rsid w:val="00B13CA5"/>
    <w:rsid w:val="00B14698"/>
    <w:rsid w:val="00B14AED"/>
    <w:rsid w:val="00B15763"/>
    <w:rsid w:val="00B159AA"/>
    <w:rsid w:val="00B1604E"/>
    <w:rsid w:val="00B161A0"/>
    <w:rsid w:val="00B16A2B"/>
    <w:rsid w:val="00B16B87"/>
    <w:rsid w:val="00B1748A"/>
    <w:rsid w:val="00B1775C"/>
    <w:rsid w:val="00B17D6F"/>
    <w:rsid w:val="00B2063E"/>
    <w:rsid w:val="00B20A5F"/>
    <w:rsid w:val="00B20F71"/>
    <w:rsid w:val="00B219FE"/>
    <w:rsid w:val="00B21C11"/>
    <w:rsid w:val="00B21EDD"/>
    <w:rsid w:val="00B23896"/>
    <w:rsid w:val="00B23D9A"/>
    <w:rsid w:val="00B2489A"/>
    <w:rsid w:val="00B24A9E"/>
    <w:rsid w:val="00B24FD9"/>
    <w:rsid w:val="00B255A1"/>
    <w:rsid w:val="00B256F8"/>
    <w:rsid w:val="00B2600E"/>
    <w:rsid w:val="00B2616F"/>
    <w:rsid w:val="00B26587"/>
    <w:rsid w:val="00B26CCD"/>
    <w:rsid w:val="00B27251"/>
    <w:rsid w:val="00B27DDD"/>
    <w:rsid w:val="00B30022"/>
    <w:rsid w:val="00B3017C"/>
    <w:rsid w:val="00B30DB3"/>
    <w:rsid w:val="00B31243"/>
    <w:rsid w:val="00B31698"/>
    <w:rsid w:val="00B318D4"/>
    <w:rsid w:val="00B31992"/>
    <w:rsid w:val="00B31A2C"/>
    <w:rsid w:val="00B31E2A"/>
    <w:rsid w:val="00B324A5"/>
    <w:rsid w:val="00B33215"/>
    <w:rsid w:val="00B3343B"/>
    <w:rsid w:val="00B33579"/>
    <w:rsid w:val="00B3362E"/>
    <w:rsid w:val="00B340EF"/>
    <w:rsid w:val="00B34B0A"/>
    <w:rsid w:val="00B354E8"/>
    <w:rsid w:val="00B35DFE"/>
    <w:rsid w:val="00B3608A"/>
    <w:rsid w:val="00B362C8"/>
    <w:rsid w:val="00B36529"/>
    <w:rsid w:val="00B369F2"/>
    <w:rsid w:val="00B36C47"/>
    <w:rsid w:val="00B36C93"/>
    <w:rsid w:val="00B37599"/>
    <w:rsid w:val="00B37F19"/>
    <w:rsid w:val="00B4057B"/>
    <w:rsid w:val="00B406BD"/>
    <w:rsid w:val="00B40DC0"/>
    <w:rsid w:val="00B40E5C"/>
    <w:rsid w:val="00B42C25"/>
    <w:rsid w:val="00B430B4"/>
    <w:rsid w:val="00B432F1"/>
    <w:rsid w:val="00B43D72"/>
    <w:rsid w:val="00B442E6"/>
    <w:rsid w:val="00B447D7"/>
    <w:rsid w:val="00B451A2"/>
    <w:rsid w:val="00B4551C"/>
    <w:rsid w:val="00B460AF"/>
    <w:rsid w:val="00B46260"/>
    <w:rsid w:val="00B47369"/>
    <w:rsid w:val="00B50037"/>
    <w:rsid w:val="00B50601"/>
    <w:rsid w:val="00B50DAE"/>
    <w:rsid w:val="00B52010"/>
    <w:rsid w:val="00B52140"/>
    <w:rsid w:val="00B5255A"/>
    <w:rsid w:val="00B52E1D"/>
    <w:rsid w:val="00B531DC"/>
    <w:rsid w:val="00B53620"/>
    <w:rsid w:val="00B536AC"/>
    <w:rsid w:val="00B53D4B"/>
    <w:rsid w:val="00B5400D"/>
    <w:rsid w:val="00B54965"/>
    <w:rsid w:val="00B5499F"/>
    <w:rsid w:val="00B55818"/>
    <w:rsid w:val="00B55924"/>
    <w:rsid w:val="00B5693E"/>
    <w:rsid w:val="00B570BF"/>
    <w:rsid w:val="00B57319"/>
    <w:rsid w:val="00B574E7"/>
    <w:rsid w:val="00B57B7D"/>
    <w:rsid w:val="00B6003D"/>
    <w:rsid w:val="00B60341"/>
    <w:rsid w:val="00B603B5"/>
    <w:rsid w:val="00B6099D"/>
    <w:rsid w:val="00B60CE2"/>
    <w:rsid w:val="00B6108B"/>
    <w:rsid w:val="00B6147C"/>
    <w:rsid w:val="00B62011"/>
    <w:rsid w:val="00B6213E"/>
    <w:rsid w:val="00B6225D"/>
    <w:rsid w:val="00B623B1"/>
    <w:rsid w:val="00B62427"/>
    <w:rsid w:val="00B62965"/>
    <w:rsid w:val="00B629A3"/>
    <w:rsid w:val="00B62ACF"/>
    <w:rsid w:val="00B63638"/>
    <w:rsid w:val="00B63730"/>
    <w:rsid w:val="00B63C6B"/>
    <w:rsid w:val="00B63D25"/>
    <w:rsid w:val="00B642FD"/>
    <w:rsid w:val="00B64463"/>
    <w:rsid w:val="00B64488"/>
    <w:rsid w:val="00B64C7B"/>
    <w:rsid w:val="00B65006"/>
    <w:rsid w:val="00B650D7"/>
    <w:rsid w:val="00B656BB"/>
    <w:rsid w:val="00B65778"/>
    <w:rsid w:val="00B662B2"/>
    <w:rsid w:val="00B67103"/>
    <w:rsid w:val="00B67399"/>
    <w:rsid w:val="00B6754B"/>
    <w:rsid w:val="00B6763B"/>
    <w:rsid w:val="00B6778B"/>
    <w:rsid w:val="00B679F4"/>
    <w:rsid w:val="00B67A50"/>
    <w:rsid w:val="00B67A96"/>
    <w:rsid w:val="00B67B0F"/>
    <w:rsid w:val="00B67CBD"/>
    <w:rsid w:val="00B70169"/>
    <w:rsid w:val="00B7046E"/>
    <w:rsid w:val="00B70E70"/>
    <w:rsid w:val="00B71883"/>
    <w:rsid w:val="00B71940"/>
    <w:rsid w:val="00B71A5D"/>
    <w:rsid w:val="00B71EDB"/>
    <w:rsid w:val="00B72199"/>
    <w:rsid w:val="00B72954"/>
    <w:rsid w:val="00B72A22"/>
    <w:rsid w:val="00B72F4F"/>
    <w:rsid w:val="00B743BC"/>
    <w:rsid w:val="00B7462A"/>
    <w:rsid w:val="00B74DFF"/>
    <w:rsid w:val="00B74E12"/>
    <w:rsid w:val="00B75932"/>
    <w:rsid w:val="00B75E02"/>
    <w:rsid w:val="00B75E8E"/>
    <w:rsid w:val="00B7603E"/>
    <w:rsid w:val="00B7666B"/>
    <w:rsid w:val="00B76871"/>
    <w:rsid w:val="00B76D55"/>
    <w:rsid w:val="00B7705D"/>
    <w:rsid w:val="00B77D9B"/>
    <w:rsid w:val="00B801FC"/>
    <w:rsid w:val="00B804C3"/>
    <w:rsid w:val="00B80C11"/>
    <w:rsid w:val="00B80EAC"/>
    <w:rsid w:val="00B81192"/>
    <w:rsid w:val="00B81770"/>
    <w:rsid w:val="00B81FCC"/>
    <w:rsid w:val="00B82129"/>
    <w:rsid w:val="00B821CC"/>
    <w:rsid w:val="00B82892"/>
    <w:rsid w:val="00B82930"/>
    <w:rsid w:val="00B8300E"/>
    <w:rsid w:val="00B84C96"/>
    <w:rsid w:val="00B84E2F"/>
    <w:rsid w:val="00B8500A"/>
    <w:rsid w:val="00B85297"/>
    <w:rsid w:val="00B85547"/>
    <w:rsid w:val="00B85667"/>
    <w:rsid w:val="00B85C95"/>
    <w:rsid w:val="00B85EC8"/>
    <w:rsid w:val="00B906D1"/>
    <w:rsid w:val="00B907F5"/>
    <w:rsid w:val="00B90C2C"/>
    <w:rsid w:val="00B90C9D"/>
    <w:rsid w:val="00B913FF"/>
    <w:rsid w:val="00B91A55"/>
    <w:rsid w:val="00B921A8"/>
    <w:rsid w:val="00B928BD"/>
    <w:rsid w:val="00B92D1E"/>
    <w:rsid w:val="00B930B1"/>
    <w:rsid w:val="00B9311F"/>
    <w:rsid w:val="00B946FB"/>
    <w:rsid w:val="00B954AB"/>
    <w:rsid w:val="00B9567D"/>
    <w:rsid w:val="00B9580E"/>
    <w:rsid w:val="00B96301"/>
    <w:rsid w:val="00B9639E"/>
    <w:rsid w:val="00B96670"/>
    <w:rsid w:val="00B96757"/>
    <w:rsid w:val="00B96BCC"/>
    <w:rsid w:val="00B96CFE"/>
    <w:rsid w:val="00B96E43"/>
    <w:rsid w:val="00B971F7"/>
    <w:rsid w:val="00B97E46"/>
    <w:rsid w:val="00BA09C6"/>
    <w:rsid w:val="00BA0D62"/>
    <w:rsid w:val="00BA0D99"/>
    <w:rsid w:val="00BA0DAE"/>
    <w:rsid w:val="00BA2454"/>
    <w:rsid w:val="00BA296A"/>
    <w:rsid w:val="00BA3447"/>
    <w:rsid w:val="00BA394D"/>
    <w:rsid w:val="00BA4C0F"/>
    <w:rsid w:val="00BA5042"/>
    <w:rsid w:val="00BA54B9"/>
    <w:rsid w:val="00BA5871"/>
    <w:rsid w:val="00BA5A0A"/>
    <w:rsid w:val="00BA619E"/>
    <w:rsid w:val="00BA644B"/>
    <w:rsid w:val="00BA6928"/>
    <w:rsid w:val="00BA6DB8"/>
    <w:rsid w:val="00BA6DF0"/>
    <w:rsid w:val="00BA6E9E"/>
    <w:rsid w:val="00BA7D05"/>
    <w:rsid w:val="00BB0C9E"/>
    <w:rsid w:val="00BB0D57"/>
    <w:rsid w:val="00BB2511"/>
    <w:rsid w:val="00BB2BB1"/>
    <w:rsid w:val="00BB2F17"/>
    <w:rsid w:val="00BB3202"/>
    <w:rsid w:val="00BB37BD"/>
    <w:rsid w:val="00BB3F15"/>
    <w:rsid w:val="00BB4D92"/>
    <w:rsid w:val="00BB4E20"/>
    <w:rsid w:val="00BB500B"/>
    <w:rsid w:val="00BB5A22"/>
    <w:rsid w:val="00BB6746"/>
    <w:rsid w:val="00BB7124"/>
    <w:rsid w:val="00BB7892"/>
    <w:rsid w:val="00BC01DA"/>
    <w:rsid w:val="00BC0845"/>
    <w:rsid w:val="00BC092B"/>
    <w:rsid w:val="00BC1256"/>
    <w:rsid w:val="00BC1878"/>
    <w:rsid w:val="00BC257C"/>
    <w:rsid w:val="00BC26C9"/>
    <w:rsid w:val="00BC29C4"/>
    <w:rsid w:val="00BC2C8F"/>
    <w:rsid w:val="00BC2D6C"/>
    <w:rsid w:val="00BC333E"/>
    <w:rsid w:val="00BC3D68"/>
    <w:rsid w:val="00BC40CB"/>
    <w:rsid w:val="00BC446B"/>
    <w:rsid w:val="00BC4BFC"/>
    <w:rsid w:val="00BC4EA8"/>
    <w:rsid w:val="00BC4FCC"/>
    <w:rsid w:val="00BC57DE"/>
    <w:rsid w:val="00BC5AF2"/>
    <w:rsid w:val="00BC67CE"/>
    <w:rsid w:val="00BC6D08"/>
    <w:rsid w:val="00BC740D"/>
    <w:rsid w:val="00BC7756"/>
    <w:rsid w:val="00BC7A7E"/>
    <w:rsid w:val="00BC7EEE"/>
    <w:rsid w:val="00BD09D9"/>
    <w:rsid w:val="00BD09E5"/>
    <w:rsid w:val="00BD0C53"/>
    <w:rsid w:val="00BD0CA5"/>
    <w:rsid w:val="00BD1588"/>
    <w:rsid w:val="00BD165D"/>
    <w:rsid w:val="00BD1719"/>
    <w:rsid w:val="00BD1767"/>
    <w:rsid w:val="00BD19AC"/>
    <w:rsid w:val="00BD19AE"/>
    <w:rsid w:val="00BD19F1"/>
    <w:rsid w:val="00BD1E86"/>
    <w:rsid w:val="00BD27C1"/>
    <w:rsid w:val="00BD28FA"/>
    <w:rsid w:val="00BD2EA6"/>
    <w:rsid w:val="00BD3144"/>
    <w:rsid w:val="00BD32B1"/>
    <w:rsid w:val="00BD3367"/>
    <w:rsid w:val="00BD34F8"/>
    <w:rsid w:val="00BD3D50"/>
    <w:rsid w:val="00BD44FD"/>
    <w:rsid w:val="00BD4A1D"/>
    <w:rsid w:val="00BD4E6E"/>
    <w:rsid w:val="00BD548D"/>
    <w:rsid w:val="00BD5B11"/>
    <w:rsid w:val="00BD5ED8"/>
    <w:rsid w:val="00BD625A"/>
    <w:rsid w:val="00BD6524"/>
    <w:rsid w:val="00BD6A27"/>
    <w:rsid w:val="00BD6E3B"/>
    <w:rsid w:val="00BD70C5"/>
    <w:rsid w:val="00BD75B9"/>
    <w:rsid w:val="00BD77BC"/>
    <w:rsid w:val="00BD7A2E"/>
    <w:rsid w:val="00BD7E09"/>
    <w:rsid w:val="00BE16A0"/>
    <w:rsid w:val="00BE1A41"/>
    <w:rsid w:val="00BE21B1"/>
    <w:rsid w:val="00BE2281"/>
    <w:rsid w:val="00BE2498"/>
    <w:rsid w:val="00BE257D"/>
    <w:rsid w:val="00BE26E4"/>
    <w:rsid w:val="00BE28AA"/>
    <w:rsid w:val="00BE29B4"/>
    <w:rsid w:val="00BE2F86"/>
    <w:rsid w:val="00BE332C"/>
    <w:rsid w:val="00BE4B2A"/>
    <w:rsid w:val="00BE4EA8"/>
    <w:rsid w:val="00BE50F3"/>
    <w:rsid w:val="00BE50FE"/>
    <w:rsid w:val="00BE5347"/>
    <w:rsid w:val="00BE5958"/>
    <w:rsid w:val="00BE5BC6"/>
    <w:rsid w:val="00BE61D5"/>
    <w:rsid w:val="00BE7E23"/>
    <w:rsid w:val="00BE7F76"/>
    <w:rsid w:val="00BF04E8"/>
    <w:rsid w:val="00BF05E7"/>
    <w:rsid w:val="00BF071D"/>
    <w:rsid w:val="00BF0C79"/>
    <w:rsid w:val="00BF1117"/>
    <w:rsid w:val="00BF1873"/>
    <w:rsid w:val="00BF18A1"/>
    <w:rsid w:val="00BF1B14"/>
    <w:rsid w:val="00BF1BC1"/>
    <w:rsid w:val="00BF22B1"/>
    <w:rsid w:val="00BF240C"/>
    <w:rsid w:val="00BF244D"/>
    <w:rsid w:val="00BF2570"/>
    <w:rsid w:val="00BF2AED"/>
    <w:rsid w:val="00BF2CAD"/>
    <w:rsid w:val="00BF2E0B"/>
    <w:rsid w:val="00BF2FCC"/>
    <w:rsid w:val="00BF30D8"/>
    <w:rsid w:val="00BF4CFA"/>
    <w:rsid w:val="00BF55EA"/>
    <w:rsid w:val="00BF5E56"/>
    <w:rsid w:val="00BF6B6F"/>
    <w:rsid w:val="00BF6C6B"/>
    <w:rsid w:val="00BF753E"/>
    <w:rsid w:val="00BF76E0"/>
    <w:rsid w:val="00BF7C94"/>
    <w:rsid w:val="00C0018E"/>
    <w:rsid w:val="00C009EF"/>
    <w:rsid w:val="00C00F0F"/>
    <w:rsid w:val="00C01DB0"/>
    <w:rsid w:val="00C01E1C"/>
    <w:rsid w:val="00C01F89"/>
    <w:rsid w:val="00C02736"/>
    <w:rsid w:val="00C02E48"/>
    <w:rsid w:val="00C038FD"/>
    <w:rsid w:val="00C04096"/>
    <w:rsid w:val="00C04102"/>
    <w:rsid w:val="00C04279"/>
    <w:rsid w:val="00C04526"/>
    <w:rsid w:val="00C05571"/>
    <w:rsid w:val="00C06520"/>
    <w:rsid w:val="00C0734E"/>
    <w:rsid w:val="00C07CFC"/>
    <w:rsid w:val="00C1027A"/>
    <w:rsid w:val="00C103FB"/>
    <w:rsid w:val="00C104DE"/>
    <w:rsid w:val="00C10DD8"/>
    <w:rsid w:val="00C11057"/>
    <w:rsid w:val="00C125C5"/>
    <w:rsid w:val="00C136A6"/>
    <w:rsid w:val="00C13C6D"/>
    <w:rsid w:val="00C13ED8"/>
    <w:rsid w:val="00C14882"/>
    <w:rsid w:val="00C14AB1"/>
    <w:rsid w:val="00C14FED"/>
    <w:rsid w:val="00C15548"/>
    <w:rsid w:val="00C155D5"/>
    <w:rsid w:val="00C16AED"/>
    <w:rsid w:val="00C16C1B"/>
    <w:rsid w:val="00C16DBE"/>
    <w:rsid w:val="00C17BC4"/>
    <w:rsid w:val="00C206D1"/>
    <w:rsid w:val="00C206E5"/>
    <w:rsid w:val="00C20764"/>
    <w:rsid w:val="00C20E7B"/>
    <w:rsid w:val="00C21EC6"/>
    <w:rsid w:val="00C222C9"/>
    <w:rsid w:val="00C22811"/>
    <w:rsid w:val="00C230FC"/>
    <w:rsid w:val="00C235BC"/>
    <w:rsid w:val="00C23937"/>
    <w:rsid w:val="00C2458F"/>
    <w:rsid w:val="00C245BD"/>
    <w:rsid w:val="00C24B0C"/>
    <w:rsid w:val="00C24B3E"/>
    <w:rsid w:val="00C24C04"/>
    <w:rsid w:val="00C2517B"/>
    <w:rsid w:val="00C25E29"/>
    <w:rsid w:val="00C275C6"/>
    <w:rsid w:val="00C2799C"/>
    <w:rsid w:val="00C27EF9"/>
    <w:rsid w:val="00C3018F"/>
    <w:rsid w:val="00C3038A"/>
    <w:rsid w:val="00C30671"/>
    <w:rsid w:val="00C31366"/>
    <w:rsid w:val="00C3142D"/>
    <w:rsid w:val="00C31856"/>
    <w:rsid w:val="00C31ABF"/>
    <w:rsid w:val="00C31C74"/>
    <w:rsid w:val="00C31E98"/>
    <w:rsid w:val="00C32B33"/>
    <w:rsid w:val="00C32B5B"/>
    <w:rsid w:val="00C32FD8"/>
    <w:rsid w:val="00C3346C"/>
    <w:rsid w:val="00C34698"/>
    <w:rsid w:val="00C3495B"/>
    <w:rsid w:val="00C34B42"/>
    <w:rsid w:val="00C34C35"/>
    <w:rsid w:val="00C35523"/>
    <w:rsid w:val="00C3563C"/>
    <w:rsid w:val="00C35644"/>
    <w:rsid w:val="00C35CA9"/>
    <w:rsid w:val="00C35D59"/>
    <w:rsid w:val="00C36064"/>
    <w:rsid w:val="00C36114"/>
    <w:rsid w:val="00C36493"/>
    <w:rsid w:val="00C369D3"/>
    <w:rsid w:val="00C3704B"/>
    <w:rsid w:val="00C3728A"/>
    <w:rsid w:val="00C37666"/>
    <w:rsid w:val="00C377CB"/>
    <w:rsid w:val="00C37DAC"/>
    <w:rsid w:val="00C40ABF"/>
    <w:rsid w:val="00C413AE"/>
    <w:rsid w:val="00C415CB"/>
    <w:rsid w:val="00C42B83"/>
    <w:rsid w:val="00C42D4D"/>
    <w:rsid w:val="00C42DA4"/>
    <w:rsid w:val="00C43094"/>
    <w:rsid w:val="00C43774"/>
    <w:rsid w:val="00C43A3B"/>
    <w:rsid w:val="00C43C18"/>
    <w:rsid w:val="00C44471"/>
    <w:rsid w:val="00C44640"/>
    <w:rsid w:val="00C449E1"/>
    <w:rsid w:val="00C4509F"/>
    <w:rsid w:val="00C45226"/>
    <w:rsid w:val="00C45249"/>
    <w:rsid w:val="00C4552A"/>
    <w:rsid w:val="00C4691C"/>
    <w:rsid w:val="00C46B19"/>
    <w:rsid w:val="00C47204"/>
    <w:rsid w:val="00C47494"/>
    <w:rsid w:val="00C475B0"/>
    <w:rsid w:val="00C47895"/>
    <w:rsid w:val="00C47986"/>
    <w:rsid w:val="00C51E1A"/>
    <w:rsid w:val="00C51F37"/>
    <w:rsid w:val="00C52168"/>
    <w:rsid w:val="00C52822"/>
    <w:rsid w:val="00C52E0F"/>
    <w:rsid w:val="00C532DB"/>
    <w:rsid w:val="00C53BA0"/>
    <w:rsid w:val="00C53BF6"/>
    <w:rsid w:val="00C53F93"/>
    <w:rsid w:val="00C54EE1"/>
    <w:rsid w:val="00C5595F"/>
    <w:rsid w:val="00C56191"/>
    <w:rsid w:val="00C563C8"/>
    <w:rsid w:val="00C56435"/>
    <w:rsid w:val="00C566AB"/>
    <w:rsid w:val="00C56B4D"/>
    <w:rsid w:val="00C577C8"/>
    <w:rsid w:val="00C60033"/>
    <w:rsid w:val="00C60ED6"/>
    <w:rsid w:val="00C60F65"/>
    <w:rsid w:val="00C6111A"/>
    <w:rsid w:val="00C62465"/>
    <w:rsid w:val="00C62562"/>
    <w:rsid w:val="00C629F6"/>
    <w:rsid w:val="00C62A5D"/>
    <w:rsid w:val="00C62CC8"/>
    <w:rsid w:val="00C62DFD"/>
    <w:rsid w:val="00C63120"/>
    <w:rsid w:val="00C63384"/>
    <w:rsid w:val="00C63447"/>
    <w:rsid w:val="00C6364D"/>
    <w:rsid w:val="00C63935"/>
    <w:rsid w:val="00C63B3F"/>
    <w:rsid w:val="00C63BBF"/>
    <w:rsid w:val="00C63D6F"/>
    <w:rsid w:val="00C63E30"/>
    <w:rsid w:val="00C64401"/>
    <w:rsid w:val="00C64551"/>
    <w:rsid w:val="00C649EA"/>
    <w:rsid w:val="00C652E6"/>
    <w:rsid w:val="00C65F11"/>
    <w:rsid w:val="00C66B1C"/>
    <w:rsid w:val="00C67180"/>
    <w:rsid w:val="00C67888"/>
    <w:rsid w:val="00C67FD6"/>
    <w:rsid w:val="00C70107"/>
    <w:rsid w:val="00C70638"/>
    <w:rsid w:val="00C708BA"/>
    <w:rsid w:val="00C70A01"/>
    <w:rsid w:val="00C70A64"/>
    <w:rsid w:val="00C713BD"/>
    <w:rsid w:val="00C71875"/>
    <w:rsid w:val="00C718B4"/>
    <w:rsid w:val="00C72B9D"/>
    <w:rsid w:val="00C7366F"/>
    <w:rsid w:val="00C73757"/>
    <w:rsid w:val="00C73967"/>
    <w:rsid w:val="00C745FB"/>
    <w:rsid w:val="00C759DA"/>
    <w:rsid w:val="00C75BD0"/>
    <w:rsid w:val="00C762A6"/>
    <w:rsid w:val="00C7652A"/>
    <w:rsid w:val="00C7680E"/>
    <w:rsid w:val="00C76BC0"/>
    <w:rsid w:val="00C76BD2"/>
    <w:rsid w:val="00C76C48"/>
    <w:rsid w:val="00C77021"/>
    <w:rsid w:val="00C779D2"/>
    <w:rsid w:val="00C805BB"/>
    <w:rsid w:val="00C813F1"/>
    <w:rsid w:val="00C82B2E"/>
    <w:rsid w:val="00C82C1A"/>
    <w:rsid w:val="00C82F89"/>
    <w:rsid w:val="00C83197"/>
    <w:rsid w:val="00C839F1"/>
    <w:rsid w:val="00C83C14"/>
    <w:rsid w:val="00C84676"/>
    <w:rsid w:val="00C84877"/>
    <w:rsid w:val="00C84A60"/>
    <w:rsid w:val="00C84B2B"/>
    <w:rsid w:val="00C84B87"/>
    <w:rsid w:val="00C84E01"/>
    <w:rsid w:val="00C8527D"/>
    <w:rsid w:val="00C85A4D"/>
    <w:rsid w:val="00C87E1F"/>
    <w:rsid w:val="00C87F04"/>
    <w:rsid w:val="00C87F91"/>
    <w:rsid w:val="00C900E5"/>
    <w:rsid w:val="00C905FB"/>
    <w:rsid w:val="00C90734"/>
    <w:rsid w:val="00C91764"/>
    <w:rsid w:val="00C91C9E"/>
    <w:rsid w:val="00C91D03"/>
    <w:rsid w:val="00C921E7"/>
    <w:rsid w:val="00C92986"/>
    <w:rsid w:val="00C92AE5"/>
    <w:rsid w:val="00C93328"/>
    <w:rsid w:val="00C934BD"/>
    <w:rsid w:val="00C936E9"/>
    <w:rsid w:val="00C93803"/>
    <w:rsid w:val="00C93D91"/>
    <w:rsid w:val="00C93FFE"/>
    <w:rsid w:val="00C94023"/>
    <w:rsid w:val="00C9423D"/>
    <w:rsid w:val="00C949EA"/>
    <w:rsid w:val="00C950EA"/>
    <w:rsid w:val="00C958DA"/>
    <w:rsid w:val="00C95C98"/>
    <w:rsid w:val="00C965BA"/>
    <w:rsid w:val="00C96A3D"/>
    <w:rsid w:val="00C96EBF"/>
    <w:rsid w:val="00C97521"/>
    <w:rsid w:val="00C97E09"/>
    <w:rsid w:val="00C97E8D"/>
    <w:rsid w:val="00CA012D"/>
    <w:rsid w:val="00CA03F7"/>
    <w:rsid w:val="00CA04C5"/>
    <w:rsid w:val="00CA060F"/>
    <w:rsid w:val="00CA094E"/>
    <w:rsid w:val="00CA0B27"/>
    <w:rsid w:val="00CA0E39"/>
    <w:rsid w:val="00CA0F3C"/>
    <w:rsid w:val="00CA1472"/>
    <w:rsid w:val="00CA14F1"/>
    <w:rsid w:val="00CA17BE"/>
    <w:rsid w:val="00CA1EBD"/>
    <w:rsid w:val="00CA1F3D"/>
    <w:rsid w:val="00CA2170"/>
    <w:rsid w:val="00CA24DA"/>
    <w:rsid w:val="00CA287D"/>
    <w:rsid w:val="00CA28EC"/>
    <w:rsid w:val="00CA2BE6"/>
    <w:rsid w:val="00CA337C"/>
    <w:rsid w:val="00CA3BB5"/>
    <w:rsid w:val="00CA3E1D"/>
    <w:rsid w:val="00CA444A"/>
    <w:rsid w:val="00CA4D8C"/>
    <w:rsid w:val="00CA4DAC"/>
    <w:rsid w:val="00CA4E4A"/>
    <w:rsid w:val="00CA4E66"/>
    <w:rsid w:val="00CA5577"/>
    <w:rsid w:val="00CA61D4"/>
    <w:rsid w:val="00CA64B1"/>
    <w:rsid w:val="00CA718C"/>
    <w:rsid w:val="00CA765D"/>
    <w:rsid w:val="00CA78F1"/>
    <w:rsid w:val="00CA7AC1"/>
    <w:rsid w:val="00CA7B49"/>
    <w:rsid w:val="00CA7E8E"/>
    <w:rsid w:val="00CB0857"/>
    <w:rsid w:val="00CB10B4"/>
    <w:rsid w:val="00CB1BB9"/>
    <w:rsid w:val="00CB1FD6"/>
    <w:rsid w:val="00CB2A84"/>
    <w:rsid w:val="00CB2A86"/>
    <w:rsid w:val="00CB2F40"/>
    <w:rsid w:val="00CB3DE2"/>
    <w:rsid w:val="00CB4047"/>
    <w:rsid w:val="00CB41DE"/>
    <w:rsid w:val="00CB420D"/>
    <w:rsid w:val="00CB49CA"/>
    <w:rsid w:val="00CB49F9"/>
    <w:rsid w:val="00CB4BAC"/>
    <w:rsid w:val="00CB4F9B"/>
    <w:rsid w:val="00CB5326"/>
    <w:rsid w:val="00CB55F6"/>
    <w:rsid w:val="00CB5833"/>
    <w:rsid w:val="00CB5FE4"/>
    <w:rsid w:val="00CB6515"/>
    <w:rsid w:val="00CB6C84"/>
    <w:rsid w:val="00CB7EF9"/>
    <w:rsid w:val="00CC0553"/>
    <w:rsid w:val="00CC06DB"/>
    <w:rsid w:val="00CC084D"/>
    <w:rsid w:val="00CC14F2"/>
    <w:rsid w:val="00CC1700"/>
    <w:rsid w:val="00CC2EA8"/>
    <w:rsid w:val="00CC2FCD"/>
    <w:rsid w:val="00CC3C21"/>
    <w:rsid w:val="00CC3CFE"/>
    <w:rsid w:val="00CC4672"/>
    <w:rsid w:val="00CC47AF"/>
    <w:rsid w:val="00CC48D8"/>
    <w:rsid w:val="00CC5067"/>
    <w:rsid w:val="00CC5586"/>
    <w:rsid w:val="00CC5657"/>
    <w:rsid w:val="00CC6470"/>
    <w:rsid w:val="00CC6623"/>
    <w:rsid w:val="00CC6D87"/>
    <w:rsid w:val="00CC6E1E"/>
    <w:rsid w:val="00CC717B"/>
    <w:rsid w:val="00CC71D0"/>
    <w:rsid w:val="00CC74C4"/>
    <w:rsid w:val="00CC7F1F"/>
    <w:rsid w:val="00CD00CD"/>
    <w:rsid w:val="00CD0932"/>
    <w:rsid w:val="00CD0FF7"/>
    <w:rsid w:val="00CD10A8"/>
    <w:rsid w:val="00CD115F"/>
    <w:rsid w:val="00CD125C"/>
    <w:rsid w:val="00CD1D0A"/>
    <w:rsid w:val="00CD278A"/>
    <w:rsid w:val="00CD2C21"/>
    <w:rsid w:val="00CD31A0"/>
    <w:rsid w:val="00CD34F8"/>
    <w:rsid w:val="00CD4161"/>
    <w:rsid w:val="00CD441A"/>
    <w:rsid w:val="00CD47CA"/>
    <w:rsid w:val="00CD48A2"/>
    <w:rsid w:val="00CD4B57"/>
    <w:rsid w:val="00CD4E3C"/>
    <w:rsid w:val="00CD5197"/>
    <w:rsid w:val="00CD5D90"/>
    <w:rsid w:val="00CD5EF7"/>
    <w:rsid w:val="00CD6022"/>
    <w:rsid w:val="00CD609D"/>
    <w:rsid w:val="00CD6463"/>
    <w:rsid w:val="00CD68CB"/>
    <w:rsid w:val="00CD6969"/>
    <w:rsid w:val="00CD6EC6"/>
    <w:rsid w:val="00CD7053"/>
    <w:rsid w:val="00CD7318"/>
    <w:rsid w:val="00CD778C"/>
    <w:rsid w:val="00CD779B"/>
    <w:rsid w:val="00CD79A3"/>
    <w:rsid w:val="00CD79AB"/>
    <w:rsid w:val="00CE02B4"/>
    <w:rsid w:val="00CE0415"/>
    <w:rsid w:val="00CE0A73"/>
    <w:rsid w:val="00CE1A71"/>
    <w:rsid w:val="00CE1A96"/>
    <w:rsid w:val="00CE1B4A"/>
    <w:rsid w:val="00CE1C9D"/>
    <w:rsid w:val="00CE24DC"/>
    <w:rsid w:val="00CE2843"/>
    <w:rsid w:val="00CE3012"/>
    <w:rsid w:val="00CE318B"/>
    <w:rsid w:val="00CE3840"/>
    <w:rsid w:val="00CE4520"/>
    <w:rsid w:val="00CE4FA3"/>
    <w:rsid w:val="00CE58D4"/>
    <w:rsid w:val="00CE67A9"/>
    <w:rsid w:val="00CF06FF"/>
    <w:rsid w:val="00CF0808"/>
    <w:rsid w:val="00CF0827"/>
    <w:rsid w:val="00CF0B39"/>
    <w:rsid w:val="00CF166A"/>
    <w:rsid w:val="00CF178A"/>
    <w:rsid w:val="00CF2181"/>
    <w:rsid w:val="00CF284D"/>
    <w:rsid w:val="00CF3165"/>
    <w:rsid w:val="00CF3E09"/>
    <w:rsid w:val="00CF3F8D"/>
    <w:rsid w:val="00CF4E1E"/>
    <w:rsid w:val="00CF4EDF"/>
    <w:rsid w:val="00CF5088"/>
    <w:rsid w:val="00CF586A"/>
    <w:rsid w:val="00CF5A2F"/>
    <w:rsid w:val="00CF68A2"/>
    <w:rsid w:val="00CF68C4"/>
    <w:rsid w:val="00CF7001"/>
    <w:rsid w:val="00CF7451"/>
    <w:rsid w:val="00D001C0"/>
    <w:rsid w:val="00D00503"/>
    <w:rsid w:val="00D00569"/>
    <w:rsid w:val="00D0129A"/>
    <w:rsid w:val="00D0142B"/>
    <w:rsid w:val="00D01D37"/>
    <w:rsid w:val="00D02D81"/>
    <w:rsid w:val="00D0310F"/>
    <w:rsid w:val="00D03CC7"/>
    <w:rsid w:val="00D03CFE"/>
    <w:rsid w:val="00D03D36"/>
    <w:rsid w:val="00D049E5"/>
    <w:rsid w:val="00D04BD3"/>
    <w:rsid w:val="00D052BD"/>
    <w:rsid w:val="00D055FD"/>
    <w:rsid w:val="00D063EC"/>
    <w:rsid w:val="00D079D1"/>
    <w:rsid w:val="00D102A7"/>
    <w:rsid w:val="00D102D4"/>
    <w:rsid w:val="00D10E0B"/>
    <w:rsid w:val="00D115DC"/>
    <w:rsid w:val="00D11740"/>
    <w:rsid w:val="00D1288A"/>
    <w:rsid w:val="00D132C2"/>
    <w:rsid w:val="00D1347D"/>
    <w:rsid w:val="00D135E6"/>
    <w:rsid w:val="00D13B84"/>
    <w:rsid w:val="00D13CF0"/>
    <w:rsid w:val="00D14402"/>
    <w:rsid w:val="00D146BD"/>
    <w:rsid w:val="00D14FA1"/>
    <w:rsid w:val="00D150AF"/>
    <w:rsid w:val="00D15473"/>
    <w:rsid w:val="00D15C39"/>
    <w:rsid w:val="00D15F75"/>
    <w:rsid w:val="00D16126"/>
    <w:rsid w:val="00D1633E"/>
    <w:rsid w:val="00D164DC"/>
    <w:rsid w:val="00D16CFB"/>
    <w:rsid w:val="00D16FB6"/>
    <w:rsid w:val="00D17238"/>
    <w:rsid w:val="00D1776E"/>
    <w:rsid w:val="00D179AF"/>
    <w:rsid w:val="00D17CAA"/>
    <w:rsid w:val="00D2013F"/>
    <w:rsid w:val="00D2027A"/>
    <w:rsid w:val="00D204A7"/>
    <w:rsid w:val="00D20525"/>
    <w:rsid w:val="00D20BF1"/>
    <w:rsid w:val="00D21122"/>
    <w:rsid w:val="00D2172B"/>
    <w:rsid w:val="00D219AB"/>
    <w:rsid w:val="00D21C2A"/>
    <w:rsid w:val="00D2241D"/>
    <w:rsid w:val="00D224BF"/>
    <w:rsid w:val="00D23AB8"/>
    <w:rsid w:val="00D23DB1"/>
    <w:rsid w:val="00D241A3"/>
    <w:rsid w:val="00D2478F"/>
    <w:rsid w:val="00D248E6"/>
    <w:rsid w:val="00D252FB"/>
    <w:rsid w:val="00D2620E"/>
    <w:rsid w:val="00D26DE9"/>
    <w:rsid w:val="00D274EE"/>
    <w:rsid w:val="00D27AA7"/>
    <w:rsid w:val="00D27BAA"/>
    <w:rsid w:val="00D27BED"/>
    <w:rsid w:val="00D27FCD"/>
    <w:rsid w:val="00D302BA"/>
    <w:rsid w:val="00D306E6"/>
    <w:rsid w:val="00D30810"/>
    <w:rsid w:val="00D30F26"/>
    <w:rsid w:val="00D30F97"/>
    <w:rsid w:val="00D31005"/>
    <w:rsid w:val="00D31506"/>
    <w:rsid w:val="00D31DB8"/>
    <w:rsid w:val="00D31FBF"/>
    <w:rsid w:val="00D320F5"/>
    <w:rsid w:val="00D323D9"/>
    <w:rsid w:val="00D32496"/>
    <w:rsid w:val="00D326B5"/>
    <w:rsid w:val="00D32C46"/>
    <w:rsid w:val="00D32E30"/>
    <w:rsid w:val="00D32F22"/>
    <w:rsid w:val="00D33169"/>
    <w:rsid w:val="00D333B8"/>
    <w:rsid w:val="00D33A55"/>
    <w:rsid w:val="00D33C91"/>
    <w:rsid w:val="00D33D17"/>
    <w:rsid w:val="00D33D90"/>
    <w:rsid w:val="00D33F34"/>
    <w:rsid w:val="00D343E4"/>
    <w:rsid w:val="00D344F2"/>
    <w:rsid w:val="00D3523D"/>
    <w:rsid w:val="00D353F4"/>
    <w:rsid w:val="00D3541A"/>
    <w:rsid w:val="00D357B5"/>
    <w:rsid w:val="00D365CD"/>
    <w:rsid w:val="00D36A13"/>
    <w:rsid w:val="00D3750C"/>
    <w:rsid w:val="00D37C2A"/>
    <w:rsid w:val="00D40B68"/>
    <w:rsid w:val="00D40C67"/>
    <w:rsid w:val="00D412DD"/>
    <w:rsid w:val="00D41BB6"/>
    <w:rsid w:val="00D41D13"/>
    <w:rsid w:val="00D42949"/>
    <w:rsid w:val="00D43347"/>
    <w:rsid w:val="00D433C2"/>
    <w:rsid w:val="00D4393B"/>
    <w:rsid w:val="00D43FAA"/>
    <w:rsid w:val="00D44C96"/>
    <w:rsid w:val="00D44EA3"/>
    <w:rsid w:val="00D45ED5"/>
    <w:rsid w:val="00D462C1"/>
    <w:rsid w:val="00D463EA"/>
    <w:rsid w:val="00D46665"/>
    <w:rsid w:val="00D467C8"/>
    <w:rsid w:val="00D46A36"/>
    <w:rsid w:val="00D46DF9"/>
    <w:rsid w:val="00D476BE"/>
    <w:rsid w:val="00D4781F"/>
    <w:rsid w:val="00D50557"/>
    <w:rsid w:val="00D51220"/>
    <w:rsid w:val="00D515ED"/>
    <w:rsid w:val="00D51DA0"/>
    <w:rsid w:val="00D522F7"/>
    <w:rsid w:val="00D52524"/>
    <w:rsid w:val="00D52D74"/>
    <w:rsid w:val="00D53297"/>
    <w:rsid w:val="00D532E5"/>
    <w:rsid w:val="00D5331A"/>
    <w:rsid w:val="00D53A35"/>
    <w:rsid w:val="00D53A96"/>
    <w:rsid w:val="00D556B2"/>
    <w:rsid w:val="00D55AB4"/>
    <w:rsid w:val="00D563F6"/>
    <w:rsid w:val="00D56610"/>
    <w:rsid w:val="00D56B5D"/>
    <w:rsid w:val="00D56C10"/>
    <w:rsid w:val="00D57DB1"/>
    <w:rsid w:val="00D6059E"/>
    <w:rsid w:val="00D60FCE"/>
    <w:rsid w:val="00D611F3"/>
    <w:rsid w:val="00D61F8F"/>
    <w:rsid w:val="00D62A4C"/>
    <w:rsid w:val="00D62A6E"/>
    <w:rsid w:val="00D62DD0"/>
    <w:rsid w:val="00D62E4C"/>
    <w:rsid w:val="00D63793"/>
    <w:rsid w:val="00D640D3"/>
    <w:rsid w:val="00D641D0"/>
    <w:rsid w:val="00D6439B"/>
    <w:rsid w:val="00D6469E"/>
    <w:rsid w:val="00D64840"/>
    <w:rsid w:val="00D649B7"/>
    <w:rsid w:val="00D64D30"/>
    <w:rsid w:val="00D6532D"/>
    <w:rsid w:val="00D65371"/>
    <w:rsid w:val="00D664FB"/>
    <w:rsid w:val="00D66637"/>
    <w:rsid w:val="00D6691C"/>
    <w:rsid w:val="00D66F49"/>
    <w:rsid w:val="00D67099"/>
    <w:rsid w:val="00D67BCD"/>
    <w:rsid w:val="00D67CB8"/>
    <w:rsid w:val="00D70D34"/>
    <w:rsid w:val="00D71A71"/>
    <w:rsid w:val="00D71DB8"/>
    <w:rsid w:val="00D72301"/>
    <w:rsid w:val="00D728E5"/>
    <w:rsid w:val="00D73611"/>
    <w:rsid w:val="00D73669"/>
    <w:rsid w:val="00D7381F"/>
    <w:rsid w:val="00D74364"/>
    <w:rsid w:val="00D74B0E"/>
    <w:rsid w:val="00D74D42"/>
    <w:rsid w:val="00D750B3"/>
    <w:rsid w:val="00D75866"/>
    <w:rsid w:val="00D762C7"/>
    <w:rsid w:val="00D764CD"/>
    <w:rsid w:val="00D7654A"/>
    <w:rsid w:val="00D7680A"/>
    <w:rsid w:val="00D76AAE"/>
    <w:rsid w:val="00D76B5D"/>
    <w:rsid w:val="00D76B97"/>
    <w:rsid w:val="00D76D94"/>
    <w:rsid w:val="00D7762A"/>
    <w:rsid w:val="00D77CDA"/>
    <w:rsid w:val="00D77E68"/>
    <w:rsid w:val="00D802B8"/>
    <w:rsid w:val="00D8166C"/>
    <w:rsid w:val="00D816EB"/>
    <w:rsid w:val="00D81869"/>
    <w:rsid w:val="00D81CF2"/>
    <w:rsid w:val="00D82640"/>
    <w:rsid w:val="00D83751"/>
    <w:rsid w:val="00D845C6"/>
    <w:rsid w:val="00D847A6"/>
    <w:rsid w:val="00D84F79"/>
    <w:rsid w:val="00D8536A"/>
    <w:rsid w:val="00D85AB6"/>
    <w:rsid w:val="00D85C25"/>
    <w:rsid w:val="00D8619A"/>
    <w:rsid w:val="00D86735"/>
    <w:rsid w:val="00D870B7"/>
    <w:rsid w:val="00D8739B"/>
    <w:rsid w:val="00D8775A"/>
    <w:rsid w:val="00D87C5C"/>
    <w:rsid w:val="00D90810"/>
    <w:rsid w:val="00D913F1"/>
    <w:rsid w:val="00D91E86"/>
    <w:rsid w:val="00D922E7"/>
    <w:rsid w:val="00D9260E"/>
    <w:rsid w:val="00D92A25"/>
    <w:rsid w:val="00D9321C"/>
    <w:rsid w:val="00D93305"/>
    <w:rsid w:val="00D93311"/>
    <w:rsid w:val="00D943AD"/>
    <w:rsid w:val="00D95050"/>
    <w:rsid w:val="00D952C3"/>
    <w:rsid w:val="00D9595B"/>
    <w:rsid w:val="00D959AD"/>
    <w:rsid w:val="00D95A09"/>
    <w:rsid w:val="00D95B22"/>
    <w:rsid w:val="00D96205"/>
    <w:rsid w:val="00D9621D"/>
    <w:rsid w:val="00D96589"/>
    <w:rsid w:val="00D96FD2"/>
    <w:rsid w:val="00D9704F"/>
    <w:rsid w:val="00D97502"/>
    <w:rsid w:val="00D977B5"/>
    <w:rsid w:val="00D97817"/>
    <w:rsid w:val="00D97DE0"/>
    <w:rsid w:val="00DA0222"/>
    <w:rsid w:val="00DA0417"/>
    <w:rsid w:val="00DA05B4"/>
    <w:rsid w:val="00DA1194"/>
    <w:rsid w:val="00DA1E75"/>
    <w:rsid w:val="00DA23D0"/>
    <w:rsid w:val="00DA25FA"/>
    <w:rsid w:val="00DA269E"/>
    <w:rsid w:val="00DA393C"/>
    <w:rsid w:val="00DA4029"/>
    <w:rsid w:val="00DA4C98"/>
    <w:rsid w:val="00DA5473"/>
    <w:rsid w:val="00DA5C76"/>
    <w:rsid w:val="00DA6371"/>
    <w:rsid w:val="00DA7887"/>
    <w:rsid w:val="00DA7BA3"/>
    <w:rsid w:val="00DA7F6B"/>
    <w:rsid w:val="00DB0D31"/>
    <w:rsid w:val="00DB0FD1"/>
    <w:rsid w:val="00DB26ED"/>
    <w:rsid w:val="00DB2865"/>
    <w:rsid w:val="00DB2BC2"/>
    <w:rsid w:val="00DB306D"/>
    <w:rsid w:val="00DB3AE8"/>
    <w:rsid w:val="00DB4016"/>
    <w:rsid w:val="00DB4388"/>
    <w:rsid w:val="00DB4F0B"/>
    <w:rsid w:val="00DB50AD"/>
    <w:rsid w:val="00DB5522"/>
    <w:rsid w:val="00DB55F9"/>
    <w:rsid w:val="00DB5A5A"/>
    <w:rsid w:val="00DB5B90"/>
    <w:rsid w:val="00DB628D"/>
    <w:rsid w:val="00DB645E"/>
    <w:rsid w:val="00DB68BB"/>
    <w:rsid w:val="00DB6D67"/>
    <w:rsid w:val="00DB6DB4"/>
    <w:rsid w:val="00DB6F43"/>
    <w:rsid w:val="00DB7FD8"/>
    <w:rsid w:val="00DC0F1B"/>
    <w:rsid w:val="00DC11A3"/>
    <w:rsid w:val="00DC149A"/>
    <w:rsid w:val="00DC1CD0"/>
    <w:rsid w:val="00DC1E00"/>
    <w:rsid w:val="00DC2093"/>
    <w:rsid w:val="00DC243C"/>
    <w:rsid w:val="00DC2661"/>
    <w:rsid w:val="00DC2DB3"/>
    <w:rsid w:val="00DC379C"/>
    <w:rsid w:val="00DC3931"/>
    <w:rsid w:val="00DC3F02"/>
    <w:rsid w:val="00DC4D7E"/>
    <w:rsid w:val="00DC5192"/>
    <w:rsid w:val="00DC5C22"/>
    <w:rsid w:val="00DC6EE1"/>
    <w:rsid w:val="00DC743E"/>
    <w:rsid w:val="00DC784D"/>
    <w:rsid w:val="00DC78BF"/>
    <w:rsid w:val="00DD0A08"/>
    <w:rsid w:val="00DD117C"/>
    <w:rsid w:val="00DD1244"/>
    <w:rsid w:val="00DD1482"/>
    <w:rsid w:val="00DD18E5"/>
    <w:rsid w:val="00DD1ECE"/>
    <w:rsid w:val="00DD1F36"/>
    <w:rsid w:val="00DD2394"/>
    <w:rsid w:val="00DD2856"/>
    <w:rsid w:val="00DD298F"/>
    <w:rsid w:val="00DD394C"/>
    <w:rsid w:val="00DD44AC"/>
    <w:rsid w:val="00DD5126"/>
    <w:rsid w:val="00DD53A1"/>
    <w:rsid w:val="00DD5BDC"/>
    <w:rsid w:val="00DD5E60"/>
    <w:rsid w:val="00DD6056"/>
    <w:rsid w:val="00DD6516"/>
    <w:rsid w:val="00DD6ED3"/>
    <w:rsid w:val="00DD7342"/>
    <w:rsid w:val="00DD7941"/>
    <w:rsid w:val="00DD7FD2"/>
    <w:rsid w:val="00DE0206"/>
    <w:rsid w:val="00DE0C87"/>
    <w:rsid w:val="00DE0E6A"/>
    <w:rsid w:val="00DE0EF9"/>
    <w:rsid w:val="00DE1811"/>
    <w:rsid w:val="00DE181B"/>
    <w:rsid w:val="00DE1EEB"/>
    <w:rsid w:val="00DE20D0"/>
    <w:rsid w:val="00DE23F1"/>
    <w:rsid w:val="00DE263B"/>
    <w:rsid w:val="00DE271D"/>
    <w:rsid w:val="00DE299E"/>
    <w:rsid w:val="00DE3999"/>
    <w:rsid w:val="00DE3B24"/>
    <w:rsid w:val="00DE3DE5"/>
    <w:rsid w:val="00DE43D6"/>
    <w:rsid w:val="00DE4C7D"/>
    <w:rsid w:val="00DE5058"/>
    <w:rsid w:val="00DE55BF"/>
    <w:rsid w:val="00DE5E8F"/>
    <w:rsid w:val="00DE670E"/>
    <w:rsid w:val="00DE6B0E"/>
    <w:rsid w:val="00DE6DC3"/>
    <w:rsid w:val="00DE70D2"/>
    <w:rsid w:val="00DE76FF"/>
    <w:rsid w:val="00DE7D0F"/>
    <w:rsid w:val="00DE7F14"/>
    <w:rsid w:val="00DF0A4B"/>
    <w:rsid w:val="00DF0DB1"/>
    <w:rsid w:val="00DF1565"/>
    <w:rsid w:val="00DF1BBB"/>
    <w:rsid w:val="00DF200A"/>
    <w:rsid w:val="00DF2B66"/>
    <w:rsid w:val="00DF2BA1"/>
    <w:rsid w:val="00DF2D90"/>
    <w:rsid w:val="00DF2F34"/>
    <w:rsid w:val="00DF3A99"/>
    <w:rsid w:val="00DF3B83"/>
    <w:rsid w:val="00DF3DD2"/>
    <w:rsid w:val="00DF41BA"/>
    <w:rsid w:val="00DF46CF"/>
    <w:rsid w:val="00DF4B3A"/>
    <w:rsid w:val="00DF54A2"/>
    <w:rsid w:val="00DF5632"/>
    <w:rsid w:val="00DF5B97"/>
    <w:rsid w:val="00DF5D64"/>
    <w:rsid w:val="00DF5ECC"/>
    <w:rsid w:val="00DF6EEC"/>
    <w:rsid w:val="00DF77BE"/>
    <w:rsid w:val="00DF788E"/>
    <w:rsid w:val="00E00423"/>
    <w:rsid w:val="00E00504"/>
    <w:rsid w:val="00E0053E"/>
    <w:rsid w:val="00E00DAA"/>
    <w:rsid w:val="00E01343"/>
    <w:rsid w:val="00E02719"/>
    <w:rsid w:val="00E02B84"/>
    <w:rsid w:val="00E02EFC"/>
    <w:rsid w:val="00E02F3D"/>
    <w:rsid w:val="00E0310D"/>
    <w:rsid w:val="00E03650"/>
    <w:rsid w:val="00E03851"/>
    <w:rsid w:val="00E03BD5"/>
    <w:rsid w:val="00E043E4"/>
    <w:rsid w:val="00E04AB1"/>
    <w:rsid w:val="00E054F3"/>
    <w:rsid w:val="00E05FC4"/>
    <w:rsid w:val="00E0641C"/>
    <w:rsid w:val="00E065E6"/>
    <w:rsid w:val="00E0661C"/>
    <w:rsid w:val="00E067BA"/>
    <w:rsid w:val="00E067ED"/>
    <w:rsid w:val="00E06E66"/>
    <w:rsid w:val="00E06EAC"/>
    <w:rsid w:val="00E06FBB"/>
    <w:rsid w:val="00E0744A"/>
    <w:rsid w:val="00E1017D"/>
    <w:rsid w:val="00E1044B"/>
    <w:rsid w:val="00E104E3"/>
    <w:rsid w:val="00E1099F"/>
    <w:rsid w:val="00E10D86"/>
    <w:rsid w:val="00E11B42"/>
    <w:rsid w:val="00E12A8B"/>
    <w:rsid w:val="00E12BCE"/>
    <w:rsid w:val="00E12C99"/>
    <w:rsid w:val="00E139F3"/>
    <w:rsid w:val="00E13A96"/>
    <w:rsid w:val="00E13D6A"/>
    <w:rsid w:val="00E13E43"/>
    <w:rsid w:val="00E1595B"/>
    <w:rsid w:val="00E15D49"/>
    <w:rsid w:val="00E161CF"/>
    <w:rsid w:val="00E16317"/>
    <w:rsid w:val="00E16B24"/>
    <w:rsid w:val="00E16D6D"/>
    <w:rsid w:val="00E174DE"/>
    <w:rsid w:val="00E175AD"/>
    <w:rsid w:val="00E20256"/>
    <w:rsid w:val="00E20485"/>
    <w:rsid w:val="00E20829"/>
    <w:rsid w:val="00E20D0F"/>
    <w:rsid w:val="00E20DFC"/>
    <w:rsid w:val="00E21918"/>
    <w:rsid w:val="00E21980"/>
    <w:rsid w:val="00E222D3"/>
    <w:rsid w:val="00E2240C"/>
    <w:rsid w:val="00E22718"/>
    <w:rsid w:val="00E22E84"/>
    <w:rsid w:val="00E2311C"/>
    <w:rsid w:val="00E23322"/>
    <w:rsid w:val="00E23EA8"/>
    <w:rsid w:val="00E245B6"/>
    <w:rsid w:val="00E24751"/>
    <w:rsid w:val="00E24B47"/>
    <w:rsid w:val="00E24C84"/>
    <w:rsid w:val="00E24CD9"/>
    <w:rsid w:val="00E251B2"/>
    <w:rsid w:val="00E256B3"/>
    <w:rsid w:val="00E257FB"/>
    <w:rsid w:val="00E25DF6"/>
    <w:rsid w:val="00E2604E"/>
    <w:rsid w:val="00E26707"/>
    <w:rsid w:val="00E26E64"/>
    <w:rsid w:val="00E27286"/>
    <w:rsid w:val="00E3012B"/>
    <w:rsid w:val="00E302AF"/>
    <w:rsid w:val="00E303FF"/>
    <w:rsid w:val="00E31135"/>
    <w:rsid w:val="00E31F63"/>
    <w:rsid w:val="00E32625"/>
    <w:rsid w:val="00E32971"/>
    <w:rsid w:val="00E33471"/>
    <w:rsid w:val="00E33A19"/>
    <w:rsid w:val="00E33C2C"/>
    <w:rsid w:val="00E33D54"/>
    <w:rsid w:val="00E33D73"/>
    <w:rsid w:val="00E34513"/>
    <w:rsid w:val="00E352C3"/>
    <w:rsid w:val="00E358DE"/>
    <w:rsid w:val="00E35AD1"/>
    <w:rsid w:val="00E36EFA"/>
    <w:rsid w:val="00E377EA"/>
    <w:rsid w:val="00E37A2C"/>
    <w:rsid w:val="00E40379"/>
    <w:rsid w:val="00E4041D"/>
    <w:rsid w:val="00E40812"/>
    <w:rsid w:val="00E40A1A"/>
    <w:rsid w:val="00E4130B"/>
    <w:rsid w:val="00E41480"/>
    <w:rsid w:val="00E41488"/>
    <w:rsid w:val="00E41B8D"/>
    <w:rsid w:val="00E427E9"/>
    <w:rsid w:val="00E43937"/>
    <w:rsid w:val="00E43F5A"/>
    <w:rsid w:val="00E441D0"/>
    <w:rsid w:val="00E44489"/>
    <w:rsid w:val="00E44577"/>
    <w:rsid w:val="00E44980"/>
    <w:rsid w:val="00E450D8"/>
    <w:rsid w:val="00E45894"/>
    <w:rsid w:val="00E45A03"/>
    <w:rsid w:val="00E45E2F"/>
    <w:rsid w:val="00E46046"/>
    <w:rsid w:val="00E46310"/>
    <w:rsid w:val="00E464E2"/>
    <w:rsid w:val="00E46F96"/>
    <w:rsid w:val="00E47BF2"/>
    <w:rsid w:val="00E50606"/>
    <w:rsid w:val="00E5070A"/>
    <w:rsid w:val="00E508D0"/>
    <w:rsid w:val="00E50968"/>
    <w:rsid w:val="00E50F7A"/>
    <w:rsid w:val="00E51042"/>
    <w:rsid w:val="00E5150A"/>
    <w:rsid w:val="00E517EC"/>
    <w:rsid w:val="00E51C14"/>
    <w:rsid w:val="00E51DE8"/>
    <w:rsid w:val="00E5237D"/>
    <w:rsid w:val="00E526A4"/>
    <w:rsid w:val="00E52E65"/>
    <w:rsid w:val="00E53336"/>
    <w:rsid w:val="00E537A4"/>
    <w:rsid w:val="00E53BF7"/>
    <w:rsid w:val="00E544D6"/>
    <w:rsid w:val="00E5511C"/>
    <w:rsid w:val="00E55493"/>
    <w:rsid w:val="00E55A92"/>
    <w:rsid w:val="00E55DA9"/>
    <w:rsid w:val="00E55F0C"/>
    <w:rsid w:val="00E56253"/>
    <w:rsid w:val="00E5688A"/>
    <w:rsid w:val="00E56BCA"/>
    <w:rsid w:val="00E600DC"/>
    <w:rsid w:val="00E60254"/>
    <w:rsid w:val="00E6075F"/>
    <w:rsid w:val="00E61665"/>
    <w:rsid w:val="00E620B0"/>
    <w:rsid w:val="00E621BF"/>
    <w:rsid w:val="00E6225A"/>
    <w:rsid w:val="00E62E5A"/>
    <w:rsid w:val="00E63325"/>
    <w:rsid w:val="00E63613"/>
    <w:rsid w:val="00E63CDE"/>
    <w:rsid w:val="00E63EBE"/>
    <w:rsid w:val="00E64159"/>
    <w:rsid w:val="00E64997"/>
    <w:rsid w:val="00E65AE0"/>
    <w:rsid w:val="00E65FD4"/>
    <w:rsid w:val="00E66159"/>
    <w:rsid w:val="00E66CAE"/>
    <w:rsid w:val="00E66F1E"/>
    <w:rsid w:val="00E670A4"/>
    <w:rsid w:val="00E67A2A"/>
    <w:rsid w:val="00E67C3E"/>
    <w:rsid w:val="00E7083F"/>
    <w:rsid w:val="00E70BD4"/>
    <w:rsid w:val="00E718CE"/>
    <w:rsid w:val="00E726AE"/>
    <w:rsid w:val="00E72A10"/>
    <w:rsid w:val="00E73011"/>
    <w:rsid w:val="00E73E07"/>
    <w:rsid w:val="00E73F1F"/>
    <w:rsid w:val="00E74695"/>
    <w:rsid w:val="00E759D6"/>
    <w:rsid w:val="00E76608"/>
    <w:rsid w:val="00E76BB9"/>
    <w:rsid w:val="00E770D6"/>
    <w:rsid w:val="00E776AA"/>
    <w:rsid w:val="00E80690"/>
    <w:rsid w:val="00E80DFB"/>
    <w:rsid w:val="00E80FAD"/>
    <w:rsid w:val="00E811BA"/>
    <w:rsid w:val="00E81663"/>
    <w:rsid w:val="00E826CC"/>
    <w:rsid w:val="00E82C3A"/>
    <w:rsid w:val="00E831F1"/>
    <w:rsid w:val="00E83690"/>
    <w:rsid w:val="00E83A27"/>
    <w:rsid w:val="00E84163"/>
    <w:rsid w:val="00E84498"/>
    <w:rsid w:val="00E855E7"/>
    <w:rsid w:val="00E85CBF"/>
    <w:rsid w:val="00E86783"/>
    <w:rsid w:val="00E86928"/>
    <w:rsid w:val="00E86CFC"/>
    <w:rsid w:val="00E870FC"/>
    <w:rsid w:val="00E8777F"/>
    <w:rsid w:val="00E87BBF"/>
    <w:rsid w:val="00E90092"/>
    <w:rsid w:val="00E906FE"/>
    <w:rsid w:val="00E907E5"/>
    <w:rsid w:val="00E9084B"/>
    <w:rsid w:val="00E90AC8"/>
    <w:rsid w:val="00E90ACF"/>
    <w:rsid w:val="00E90FE7"/>
    <w:rsid w:val="00E91056"/>
    <w:rsid w:val="00E9155E"/>
    <w:rsid w:val="00E91EAD"/>
    <w:rsid w:val="00E91F0A"/>
    <w:rsid w:val="00E91F41"/>
    <w:rsid w:val="00E92549"/>
    <w:rsid w:val="00E928AA"/>
    <w:rsid w:val="00E93169"/>
    <w:rsid w:val="00E93358"/>
    <w:rsid w:val="00E93675"/>
    <w:rsid w:val="00E9371E"/>
    <w:rsid w:val="00E94DF4"/>
    <w:rsid w:val="00E95096"/>
    <w:rsid w:val="00E95B82"/>
    <w:rsid w:val="00E95CFE"/>
    <w:rsid w:val="00E95FBB"/>
    <w:rsid w:val="00E973F5"/>
    <w:rsid w:val="00E97990"/>
    <w:rsid w:val="00E97C1B"/>
    <w:rsid w:val="00EA0AE1"/>
    <w:rsid w:val="00EA1115"/>
    <w:rsid w:val="00EA1695"/>
    <w:rsid w:val="00EA1C53"/>
    <w:rsid w:val="00EA1E73"/>
    <w:rsid w:val="00EA21BD"/>
    <w:rsid w:val="00EA22CD"/>
    <w:rsid w:val="00EA2642"/>
    <w:rsid w:val="00EA2C34"/>
    <w:rsid w:val="00EA3D75"/>
    <w:rsid w:val="00EA3FE0"/>
    <w:rsid w:val="00EA4585"/>
    <w:rsid w:val="00EA4820"/>
    <w:rsid w:val="00EA49B6"/>
    <w:rsid w:val="00EA4D40"/>
    <w:rsid w:val="00EA4F57"/>
    <w:rsid w:val="00EA53F5"/>
    <w:rsid w:val="00EA5900"/>
    <w:rsid w:val="00EA5B15"/>
    <w:rsid w:val="00EA62AB"/>
    <w:rsid w:val="00EA6362"/>
    <w:rsid w:val="00EA66ED"/>
    <w:rsid w:val="00EA6889"/>
    <w:rsid w:val="00EA6ECA"/>
    <w:rsid w:val="00EA7AAE"/>
    <w:rsid w:val="00EB05CD"/>
    <w:rsid w:val="00EB06C9"/>
    <w:rsid w:val="00EB0ECC"/>
    <w:rsid w:val="00EB1BFD"/>
    <w:rsid w:val="00EB1D67"/>
    <w:rsid w:val="00EB20A4"/>
    <w:rsid w:val="00EB214E"/>
    <w:rsid w:val="00EB269C"/>
    <w:rsid w:val="00EB2892"/>
    <w:rsid w:val="00EB2C5B"/>
    <w:rsid w:val="00EB2EE7"/>
    <w:rsid w:val="00EB31D1"/>
    <w:rsid w:val="00EB3CFD"/>
    <w:rsid w:val="00EB3E35"/>
    <w:rsid w:val="00EB41E9"/>
    <w:rsid w:val="00EB42BF"/>
    <w:rsid w:val="00EB457C"/>
    <w:rsid w:val="00EB462F"/>
    <w:rsid w:val="00EB4ADB"/>
    <w:rsid w:val="00EB4FD3"/>
    <w:rsid w:val="00EB5C38"/>
    <w:rsid w:val="00EB5EBC"/>
    <w:rsid w:val="00EB5EF9"/>
    <w:rsid w:val="00EB5F48"/>
    <w:rsid w:val="00EB61B8"/>
    <w:rsid w:val="00EB68BB"/>
    <w:rsid w:val="00EB68EE"/>
    <w:rsid w:val="00EB6ADD"/>
    <w:rsid w:val="00EB7A30"/>
    <w:rsid w:val="00EC1394"/>
    <w:rsid w:val="00EC239F"/>
    <w:rsid w:val="00EC26A4"/>
    <w:rsid w:val="00EC2956"/>
    <w:rsid w:val="00EC2B9F"/>
    <w:rsid w:val="00EC323A"/>
    <w:rsid w:val="00EC3358"/>
    <w:rsid w:val="00EC3631"/>
    <w:rsid w:val="00EC4279"/>
    <w:rsid w:val="00EC4726"/>
    <w:rsid w:val="00EC4D78"/>
    <w:rsid w:val="00EC57F3"/>
    <w:rsid w:val="00EC5AC6"/>
    <w:rsid w:val="00EC6A13"/>
    <w:rsid w:val="00EC6B11"/>
    <w:rsid w:val="00EC6F35"/>
    <w:rsid w:val="00EC752C"/>
    <w:rsid w:val="00EC78DC"/>
    <w:rsid w:val="00ED028D"/>
    <w:rsid w:val="00ED12C3"/>
    <w:rsid w:val="00ED1C26"/>
    <w:rsid w:val="00ED22A9"/>
    <w:rsid w:val="00ED248E"/>
    <w:rsid w:val="00ED25BB"/>
    <w:rsid w:val="00ED27DD"/>
    <w:rsid w:val="00ED28D7"/>
    <w:rsid w:val="00ED34DB"/>
    <w:rsid w:val="00ED3AC7"/>
    <w:rsid w:val="00ED3B4D"/>
    <w:rsid w:val="00ED3B5A"/>
    <w:rsid w:val="00ED4283"/>
    <w:rsid w:val="00ED4D2E"/>
    <w:rsid w:val="00ED4DF2"/>
    <w:rsid w:val="00ED5545"/>
    <w:rsid w:val="00ED6079"/>
    <w:rsid w:val="00ED60B0"/>
    <w:rsid w:val="00ED66B1"/>
    <w:rsid w:val="00ED68C0"/>
    <w:rsid w:val="00ED7325"/>
    <w:rsid w:val="00ED73B9"/>
    <w:rsid w:val="00EE0AC4"/>
    <w:rsid w:val="00EE1252"/>
    <w:rsid w:val="00EE175F"/>
    <w:rsid w:val="00EE18C9"/>
    <w:rsid w:val="00EE1D23"/>
    <w:rsid w:val="00EE1D43"/>
    <w:rsid w:val="00EE1DDE"/>
    <w:rsid w:val="00EE2014"/>
    <w:rsid w:val="00EE24F5"/>
    <w:rsid w:val="00EE2507"/>
    <w:rsid w:val="00EE268F"/>
    <w:rsid w:val="00EE292F"/>
    <w:rsid w:val="00EE31D6"/>
    <w:rsid w:val="00EE334C"/>
    <w:rsid w:val="00EE3B73"/>
    <w:rsid w:val="00EE3CA4"/>
    <w:rsid w:val="00EE4087"/>
    <w:rsid w:val="00EE41F1"/>
    <w:rsid w:val="00EE47FF"/>
    <w:rsid w:val="00EE498A"/>
    <w:rsid w:val="00EE4AE0"/>
    <w:rsid w:val="00EE4FC4"/>
    <w:rsid w:val="00EE5F69"/>
    <w:rsid w:val="00EE6A19"/>
    <w:rsid w:val="00EE6BBB"/>
    <w:rsid w:val="00EE6F45"/>
    <w:rsid w:val="00EE7911"/>
    <w:rsid w:val="00EF05A8"/>
    <w:rsid w:val="00EF06A8"/>
    <w:rsid w:val="00EF0852"/>
    <w:rsid w:val="00EF0ADF"/>
    <w:rsid w:val="00EF0C6C"/>
    <w:rsid w:val="00EF11B0"/>
    <w:rsid w:val="00EF1F14"/>
    <w:rsid w:val="00EF2384"/>
    <w:rsid w:val="00EF2AE1"/>
    <w:rsid w:val="00EF31DA"/>
    <w:rsid w:val="00EF3450"/>
    <w:rsid w:val="00EF4232"/>
    <w:rsid w:val="00EF4C99"/>
    <w:rsid w:val="00EF5184"/>
    <w:rsid w:val="00EF5287"/>
    <w:rsid w:val="00EF55C5"/>
    <w:rsid w:val="00EF5D4E"/>
    <w:rsid w:val="00EF5FC1"/>
    <w:rsid w:val="00EF6782"/>
    <w:rsid w:val="00EF6D45"/>
    <w:rsid w:val="00EF6D53"/>
    <w:rsid w:val="00EF6DDF"/>
    <w:rsid w:val="00EF6FAB"/>
    <w:rsid w:val="00EF7816"/>
    <w:rsid w:val="00EF7F01"/>
    <w:rsid w:val="00F005C0"/>
    <w:rsid w:val="00F00B84"/>
    <w:rsid w:val="00F00F1D"/>
    <w:rsid w:val="00F01F39"/>
    <w:rsid w:val="00F0271D"/>
    <w:rsid w:val="00F03065"/>
    <w:rsid w:val="00F03A16"/>
    <w:rsid w:val="00F040B0"/>
    <w:rsid w:val="00F041F6"/>
    <w:rsid w:val="00F04E58"/>
    <w:rsid w:val="00F05839"/>
    <w:rsid w:val="00F06EF9"/>
    <w:rsid w:val="00F07868"/>
    <w:rsid w:val="00F10673"/>
    <w:rsid w:val="00F10DCF"/>
    <w:rsid w:val="00F110AB"/>
    <w:rsid w:val="00F11821"/>
    <w:rsid w:val="00F12EFF"/>
    <w:rsid w:val="00F12F23"/>
    <w:rsid w:val="00F136EF"/>
    <w:rsid w:val="00F138FF"/>
    <w:rsid w:val="00F13F1C"/>
    <w:rsid w:val="00F140A0"/>
    <w:rsid w:val="00F14E42"/>
    <w:rsid w:val="00F155A2"/>
    <w:rsid w:val="00F1585A"/>
    <w:rsid w:val="00F15C35"/>
    <w:rsid w:val="00F15D9B"/>
    <w:rsid w:val="00F16BEA"/>
    <w:rsid w:val="00F17725"/>
    <w:rsid w:val="00F1780C"/>
    <w:rsid w:val="00F17986"/>
    <w:rsid w:val="00F17C6C"/>
    <w:rsid w:val="00F2014D"/>
    <w:rsid w:val="00F209E3"/>
    <w:rsid w:val="00F219CF"/>
    <w:rsid w:val="00F21D97"/>
    <w:rsid w:val="00F21EA0"/>
    <w:rsid w:val="00F21FF8"/>
    <w:rsid w:val="00F2237D"/>
    <w:rsid w:val="00F22E8B"/>
    <w:rsid w:val="00F22F92"/>
    <w:rsid w:val="00F2372B"/>
    <w:rsid w:val="00F23891"/>
    <w:rsid w:val="00F24326"/>
    <w:rsid w:val="00F252A9"/>
    <w:rsid w:val="00F253B1"/>
    <w:rsid w:val="00F25CC7"/>
    <w:rsid w:val="00F274A4"/>
    <w:rsid w:val="00F30F26"/>
    <w:rsid w:val="00F31F87"/>
    <w:rsid w:val="00F32FF5"/>
    <w:rsid w:val="00F344D1"/>
    <w:rsid w:val="00F3457E"/>
    <w:rsid w:val="00F345CB"/>
    <w:rsid w:val="00F346E0"/>
    <w:rsid w:val="00F348DD"/>
    <w:rsid w:val="00F3507F"/>
    <w:rsid w:val="00F3562A"/>
    <w:rsid w:val="00F35A30"/>
    <w:rsid w:val="00F364C5"/>
    <w:rsid w:val="00F36B0A"/>
    <w:rsid w:val="00F36E88"/>
    <w:rsid w:val="00F3772C"/>
    <w:rsid w:val="00F37BA4"/>
    <w:rsid w:val="00F37DBF"/>
    <w:rsid w:val="00F4013D"/>
    <w:rsid w:val="00F40B62"/>
    <w:rsid w:val="00F411C3"/>
    <w:rsid w:val="00F416DD"/>
    <w:rsid w:val="00F417B2"/>
    <w:rsid w:val="00F41A32"/>
    <w:rsid w:val="00F41A70"/>
    <w:rsid w:val="00F4209C"/>
    <w:rsid w:val="00F42288"/>
    <w:rsid w:val="00F423F2"/>
    <w:rsid w:val="00F42486"/>
    <w:rsid w:val="00F42DBA"/>
    <w:rsid w:val="00F42DBC"/>
    <w:rsid w:val="00F4327B"/>
    <w:rsid w:val="00F43F0E"/>
    <w:rsid w:val="00F43FF3"/>
    <w:rsid w:val="00F4456B"/>
    <w:rsid w:val="00F447D6"/>
    <w:rsid w:val="00F4499E"/>
    <w:rsid w:val="00F44E8C"/>
    <w:rsid w:val="00F459EA"/>
    <w:rsid w:val="00F45A5C"/>
    <w:rsid w:val="00F4673A"/>
    <w:rsid w:val="00F46965"/>
    <w:rsid w:val="00F474D0"/>
    <w:rsid w:val="00F4760C"/>
    <w:rsid w:val="00F47681"/>
    <w:rsid w:val="00F500F4"/>
    <w:rsid w:val="00F50937"/>
    <w:rsid w:val="00F50E58"/>
    <w:rsid w:val="00F50F0B"/>
    <w:rsid w:val="00F5124B"/>
    <w:rsid w:val="00F51718"/>
    <w:rsid w:val="00F51728"/>
    <w:rsid w:val="00F51746"/>
    <w:rsid w:val="00F5199F"/>
    <w:rsid w:val="00F524E9"/>
    <w:rsid w:val="00F52A8D"/>
    <w:rsid w:val="00F531A6"/>
    <w:rsid w:val="00F5395C"/>
    <w:rsid w:val="00F53CD5"/>
    <w:rsid w:val="00F542F7"/>
    <w:rsid w:val="00F544D2"/>
    <w:rsid w:val="00F548FA"/>
    <w:rsid w:val="00F549E8"/>
    <w:rsid w:val="00F54A25"/>
    <w:rsid w:val="00F54CFA"/>
    <w:rsid w:val="00F54EA5"/>
    <w:rsid w:val="00F5511B"/>
    <w:rsid w:val="00F55249"/>
    <w:rsid w:val="00F55271"/>
    <w:rsid w:val="00F56903"/>
    <w:rsid w:val="00F572B1"/>
    <w:rsid w:val="00F5753A"/>
    <w:rsid w:val="00F57837"/>
    <w:rsid w:val="00F57A98"/>
    <w:rsid w:val="00F60B71"/>
    <w:rsid w:val="00F60BD5"/>
    <w:rsid w:val="00F6121C"/>
    <w:rsid w:val="00F619B8"/>
    <w:rsid w:val="00F63372"/>
    <w:rsid w:val="00F63B61"/>
    <w:rsid w:val="00F63C21"/>
    <w:rsid w:val="00F63D98"/>
    <w:rsid w:val="00F64340"/>
    <w:rsid w:val="00F64717"/>
    <w:rsid w:val="00F64794"/>
    <w:rsid w:val="00F656FA"/>
    <w:rsid w:val="00F65FCC"/>
    <w:rsid w:val="00F65FDB"/>
    <w:rsid w:val="00F6660F"/>
    <w:rsid w:val="00F6702E"/>
    <w:rsid w:val="00F670A5"/>
    <w:rsid w:val="00F67258"/>
    <w:rsid w:val="00F675BC"/>
    <w:rsid w:val="00F6763B"/>
    <w:rsid w:val="00F67742"/>
    <w:rsid w:val="00F67E52"/>
    <w:rsid w:val="00F702B7"/>
    <w:rsid w:val="00F70459"/>
    <w:rsid w:val="00F704E2"/>
    <w:rsid w:val="00F70F70"/>
    <w:rsid w:val="00F71498"/>
    <w:rsid w:val="00F71A6A"/>
    <w:rsid w:val="00F729E1"/>
    <w:rsid w:val="00F72CAE"/>
    <w:rsid w:val="00F731FC"/>
    <w:rsid w:val="00F73441"/>
    <w:rsid w:val="00F73D18"/>
    <w:rsid w:val="00F74115"/>
    <w:rsid w:val="00F7453B"/>
    <w:rsid w:val="00F74735"/>
    <w:rsid w:val="00F75166"/>
    <w:rsid w:val="00F76983"/>
    <w:rsid w:val="00F769CF"/>
    <w:rsid w:val="00F76BE1"/>
    <w:rsid w:val="00F7729D"/>
    <w:rsid w:val="00F80C6E"/>
    <w:rsid w:val="00F8158A"/>
    <w:rsid w:val="00F816CC"/>
    <w:rsid w:val="00F82027"/>
    <w:rsid w:val="00F82169"/>
    <w:rsid w:val="00F825C7"/>
    <w:rsid w:val="00F82870"/>
    <w:rsid w:val="00F82A79"/>
    <w:rsid w:val="00F82DF9"/>
    <w:rsid w:val="00F8313D"/>
    <w:rsid w:val="00F837C3"/>
    <w:rsid w:val="00F839C4"/>
    <w:rsid w:val="00F841EE"/>
    <w:rsid w:val="00F84381"/>
    <w:rsid w:val="00F84465"/>
    <w:rsid w:val="00F84711"/>
    <w:rsid w:val="00F84753"/>
    <w:rsid w:val="00F84892"/>
    <w:rsid w:val="00F8535F"/>
    <w:rsid w:val="00F85CC5"/>
    <w:rsid w:val="00F87265"/>
    <w:rsid w:val="00F87941"/>
    <w:rsid w:val="00F9034C"/>
    <w:rsid w:val="00F90677"/>
    <w:rsid w:val="00F908ED"/>
    <w:rsid w:val="00F908FD"/>
    <w:rsid w:val="00F920D9"/>
    <w:rsid w:val="00F9216E"/>
    <w:rsid w:val="00F9216F"/>
    <w:rsid w:val="00F9255A"/>
    <w:rsid w:val="00F93748"/>
    <w:rsid w:val="00F938D9"/>
    <w:rsid w:val="00F94067"/>
    <w:rsid w:val="00F94742"/>
    <w:rsid w:val="00F9523C"/>
    <w:rsid w:val="00F95C08"/>
    <w:rsid w:val="00F95CA0"/>
    <w:rsid w:val="00F95CD2"/>
    <w:rsid w:val="00F95DED"/>
    <w:rsid w:val="00F96D39"/>
    <w:rsid w:val="00F9733B"/>
    <w:rsid w:val="00F97876"/>
    <w:rsid w:val="00F97CAD"/>
    <w:rsid w:val="00FA0054"/>
    <w:rsid w:val="00FA02FA"/>
    <w:rsid w:val="00FA133C"/>
    <w:rsid w:val="00FA15CD"/>
    <w:rsid w:val="00FA1BAF"/>
    <w:rsid w:val="00FA21B2"/>
    <w:rsid w:val="00FA2716"/>
    <w:rsid w:val="00FA2750"/>
    <w:rsid w:val="00FA3471"/>
    <w:rsid w:val="00FA3888"/>
    <w:rsid w:val="00FA39E1"/>
    <w:rsid w:val="00FA3FE9"/>
    <w:rsid w:val="00FA41E9"/>
    <w:rsid w:val="00FA43A0"/>
    <w:rsid w:val="00FA61AC"/>
    <w:rsid w:val="00FA65A7"/>
    <w:rsid w:val="00FA678B"/>
    <w:rsid w:val="00FA6CD8"/>
    <w:rsid w:val="00FA6F21"/>
    <w:rsid w:val="00FA7212"/>
    <w:rsid w:val="00FA765A"/>
    <w:rsid w:val="00FB048D"/>
    <w:rsid w:val="00FB086A"/>
    <w:rsid w:val="00FB0B4F"/>
    <w:rsid w:val="00FB0C39"/>
    <w:rsid w:val="00FB1629"/>
    <w:rsid w:val="00FB1702"/>
    <w:rsid w:val="00FB172E"/>
    <w:rsid w:val="00FB1870"/>
    <w:rsid w:val="00FB236D"/>
    <w:rsid w:val="00FB2761"/>
    <w:rsid w:val="00FB2893"/>
    <w:rsid w:val="00FB3B07"/>
    <w:rsid w:val="00FB43B3"/>
    <w:rsid w:val="00FB4D56"/>
    <w:rsid w:val="00FB538A"/>
    <w:rsid w:val="00FB5C79"/>
    <w:rsid w:val="00FB622E"/>
    <w:rsid w:val="00FB6403"/>
    <w:rsid w:val="00FB64AA"/>
    <w:rsid w:val="00FC00AE"/>
    <w:rsid w:val="00FC0236"/>
    <w:rsid w:val="00FC044C"/>
    <w:rsid w:val="00FC059E"/>
    <w:rsid w:val="00FC0707"/>
    <w:rsid w:val="00FC1302"/>
    <w:rsid w:val="00FC1FAA"/>
    <w:rsid w:val="00FC2222"/>
    <w:rsid w:val="00FC22FB"/>
    <w:rsid w:val="00FC23DE"/>
    <w:rsid w:val="00FC23EA"/>
    <w:rsid w:val="00FC2972"/>
    <w:rsid w:val="00FC2BCA"/>
    <w:rsid w:val="00FC2F84"/>
    <w:rsid w:val="00FC397C"/>
    <w:rsid w:val="00FC4DE9"/>
    <w:rsid w:val="00FC4E89"/>
    <w:rsid w:val="00FC50F2"/>
    <w:rsid w:val="00FC5731"/>
    <w:rsid w:val="00FC57C0"/>
    <w:rsid w:val="00FC5AE0"/>
    <w:rsid w:val="00FC5D75"/>
    <w:rsid w:val="00FC5FBE"/>
    <w:rsid w:val="00FC628C"/>
    <w:rsid w:val="00FC6726"/>
    <w:rsid w:val="00FC6F4F"/>
    <w:rsid w:val="00FC70C0"/>
    <w:rsid w:val="00FC747A"/>
    <w:rsid w:val="00FC7CC5"/>
    <w:rsid w:val="00FC7EEE"/>
    <w:rsid w:val="00FD0130"/>
    <w:rsid w:val="00FD083F"/>
    <w:rsid w:val="00FD12BD"/>
    <w:rsid w:val="00FD1E03"/>
    <w:rsid w:val="00FD2575"/>
    <w:rsid w:val="00FD30E6"/>
    <w:rsid w:val="00FD35C3"/>
    <w:rsid w:val="00FD3915"/>
    <w:rsid w:val="00FD3D65"/>
    <w:rsid w:val="00FD3E2F"/>
    <w:rsid w:val="00FD4532"/>
    <w:rsid w:val="00FD5001"/>
    <w:rsid w:val="00FD60A5"/>
    <w:rsid w:val="00FD67AB"/>
    <w:rsid w:val="00FD6AD6"/>
    <w:rsid w:val="00FD70E6"/>
    <w:rsid w:val="00FD78F2"/>
    <w:rsid w:val="00FE0139"/>
    <w:rsid w:val="00FE03F8"/>
    <w:rsid w:val="00FE085D"/>
    <w:rsid w:val="00FE09ED"/>
    <w:rsid w:val="00FE1924"/>
    <w:rsid w:val="00FE1F45"/>
    <w:rsid w:val="00FE1F4B"/>
    <w:rsid w:val="00FE24B0"/>
    <w:rsid w:val="00FE3186"/>
    <w:rsid w:val="00FE318F"/>
    <w:rsid w:val="00FE48E1"/>
    <w:rsid w:val="00FE4D2D"/>
    <w:rsid w:val="00FE4DB0"/>
    <w:rsid w:val="00FE4DD7"/>
    <w:rsid w:val="00FE5C66"/>
    <w:rsid w:val="00FE5ECD"/>
    <w:rsid w:val="00FE69A3"/>
    <w:rsid w:val="00FE6E31"/>
    <w:rsid w:val="00FE7DD7"/>
    <w:rsid w:val="00FF0233"/>
    <w:rsid w:val="00FF07FB"/>
    <w:rsid w:val="00FF0E9D"/>
    <w:rsid w:val="00FF12C4"/>
    <w:rsid w:val="00FF19A7"/>
    <w:rsid w:val="00FF2776"/>
    <w:rsid w:val="00FF2EED"/>
    <w:rsid w:val="00FF3019"/>
    <w:rsid w:val="00FF3206"/>
    <w:rsid w:val="00FF43E7"/>
    <w:rsid w:val="00FF47EE"/>
    <w:rsid w:val="00FF4851"/>
    <w:rsid w:val="00FF4F1F"/>
    <w:rsid w:val="00FF54F6"/>
    <w:rsid w:val="00FF5682"/>
    <w:rsid w:val="00FF6363"/>
    <w:rsid w:val="00FF6FF4"/>
    <w:rsid w:val="00FF713C"/>
    <w:rsid w:val="00FF7838"/>
    <w:rsid w:val="00FF7B63"/>
    <w:rsid w:val="00FF7D0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bg-BG" w:eastAsia="bg-BG"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8824B9"/>
    <w:pPr>
      <w:suppressAutoHyphens/>
    </w:pPr>
    <w:rPr>
      <w:sz w:val="24"/>
      <w:szCs w:val="24"/>
      <w:lang w:val="en-GB" w:eastAsia="fr-FR"/>
    </w:rPr>
  </w:style>
  <w:style w:type="paragraph" w:styleId="Heading1">
    <w:name w:val="heading 1"/>
    <w:basedOn w:val="Normal"/>
    <w:next w:val="Normal"/>
    <w:link w:val="Heading1Char"/>
    <w:uiPriority w:val="99"/>
    <w:qFormat/>
    <w:rsid w:val="008824B9"/>
    <w:pPr>
      <w:keepNext/>
      <w:spacing w:before="360" w:after="240"/>
      <w:jc w:val="center"/>
      <w:outlineLvl w:val="0"/>
    </w:pPr>
    <w:rPr>
      <w:b/>
      <w:bCs/>
      <w:sz w:val="28"/>
      <w:szCs w:val="28"/>
    </w:rPr>
  </w:style>
  <w:style w:type="paragraph" w:styleId="Heading2">
    <w:name w:val="heading 2"/>
    <w:basedOn w:val="Normal"/>
    <w:next w:val="Normal"/>
    <w:link w:val="Heading2Char"/>
    <w:uiPriority w:val="99"/>
    <w:qFormat/>
    <w:rsid w:val="008824B9"/>
    <w:pPr>
      <w:keepNext/>
      <w:spacing w:before="240" w:after="120"/>
      <w:ind w:left="284" w:hanging="284"/>
      <w:outlineLvl w:val="1"/>
    </w:pPr>
    <w:rPr>
      <w:b/>
      <w:bCs/>
    </w:rPr>
  </w:style>
  <w:style w:type="paragraph" w:styleId="Heading3">
    <w:name w:val="heading 3"/>
    <w:basedOn w:val="Normal"/>
    <w:next w:val="Normal"/>
    <w:link w:val="Heading3Char"/>
    <w:uiPriority w:val="99"/>
    <w:qFormat/>
    <w:rsid w:val="008824B9"/>
    <w:pPr>
      <w:keepNext/>
      <w:spacing w:before="120" w:after="60"/>
      <w:ind w:left="1418" w:hanging="851"/>
      <w:outlineLvl w:val="2"/>
    </w:pPr>
    <w:rPr>
      <w:i/>
      <w:iCs/>
    </w:rPr>
  </w:style>
  <w:style w:type="paragraph" w:styleId="Heading4">
    <w:name w:val="heading 4"/>
    <w:basedOn w:val="Normal"/>
    <w:next w:val="Normal"/>
    <w:link w:val="Heading4Char"/>
    <w:uiPriority w:val="99"/>
    <w:qFormat/>
    <w:rsid w:val="00733477"/>
    <w:pPr>
      <w:widowControl w:val="0"/>
      <w:outlineLvl w:val="3"/>
    </w:pPr>
    <w:rPr>
      <w:rFonts w:ascii="Courier" w:hAnsi="Courier" w:cs="Courier"/>
      <w:lang w:val="en-US" w:eastAsia="en-US"/>
    </w:rPr>
  </w:style>
  <w:style w:type="paragraph" w:styleId="Heading5">
    <w:name w:val="heading 5"/>
    <w:basedOn w:val="Normal"/>
    <w:next w:val="Normal"/>
    <w:link w:val="Heading5Char"/>
    <w:uiPriority w:val="99"/>
    <w:qFormat/>
    <w:rsid w:val="00733477"/>
    <w:pPr>
      <w:widowControl w:val="0"/>
      <w:outlineLvl w:val="4"/>
    </w:pPr>
    <w:rPr>
      <w:rFonts w:ascii="Courier" w:hAnsi="Courier" w:cs="Courier"/>
      <w:lang w:val="en-US" w:eastAsia="en-US"/>
    </w:rPr>
  </w:style>
  <w:style w:type="paragraph" w:styleId="Heading6">
    <w:name w:val="heading 6"/>
    <w:basedOn w:val="Normal"/>
    <w:next w:val="Normal"/>
    <w:link w:val="Heading6Char"/>
    <w:uiPriority w:val="99"/>
    <w:qFormat/>
    <w:rsid w:val="00733477"/>
    <w:pPr>
      <w:widowControl w:val="0"/>
      <w:outlineLvl w:val="5"/>
    </w:pPr>
    <w:rPr>
      <w:rFonts w:ascii="Courier" w:hAnsi="Courier" w:cs="Courier"/>
      <w:lang w:val="en-US" w:eastAsia="en-US"/>
    </w:rPr>
  </w:style>
  <w:style w:type="paragraph" w:styleId="Heading7">
    <w:name w:val="heading 7"/>
    <w:basedOn w:val="Normal"/>
    <w:next w:val="Normal"/>
    <w:link w:val="Heading7Char"/>
    <w:uiPriority w:val="99"/>
    <w:qFormat/>
    <w:rsid w:val="00733477"/>
    <w:pPr>
      <w:widowControl w:val="0"/>
      <w:outlineLvl w:val="6"/>
    </w:pPr>
    <w:rPr>
      <w:rFonts w:ascii="Courier" w:hAnsi="Courier" w:cs="Courier"/>
      <w:lang w:val="en-US" w:eastAsia="en-US"/>
    </w:rPr>
  </w:style>
  <w:style w:type="paragraph" w:styleId="Heading8">
    <w:name w:val="heading 8"/>
    <w:basedOn w:val="Normal"/>
    <w:next w:val="Normal"/>
    <w:link w:val="Heading8Char"/>
    <w:uiPriority w:val="99"/>
    <w:qFormat/>
    <w:rsid w:val="00733477"/>
    <w:pPr>
      <w:widowControl w:val="0"/>
      <w:outlineLvl w:val="7"/>
    </w:pPr>
    <w:rPr>
      <w:rFonts w:ascii="Courier" w:hAnsi="Courier" w:cs="Courier"/>
      <w:lang w:val="en-US" w:eastAsia="en-US"/>
    </w:rPr>
  </w:style>
  <w:style w:type="paragraph" w:styleId="Heading9">
    <w:name w:val="heading 9"/>
    <w:basedOn w:val="Normal"/>
    <w:next w:val="Normal"/>
    <w:link w:val="Heading9Char"/>
    <w:uiPriority w:val="99"/>
    <w:qFormat/>
    <w:rsid w:val="00733477"/>
    <w:pPr>
      <w:keepNext/>
      <w:tabs>
        <w:tab w:val="left" w:pos="-1440"/>
        <w:tab w:val="left" w:pos="-720"/>
        <w:tab w:val="left" w:pos="0"/>
        <w:tab w:val="left" w:pos="1056"/>
        <w:tab w:val="left" w:pos="1584"/>
        <w:tab w:val="left" w:pos="2112"/>
        <w:tab w:val="left" w:pos="2880"/>
      </w:tabs>
      <w:ind w:left="-306" w:right="-306"/>
      <w:jc w:val="both"/>
      <w:outlineLvl w:val="8"/>
    </w:pPr>
    <w:rPr>
      <w:i/>
      <w:iCs/>
      <w:spacing w:val="-2"/>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97E8D"/>
    <w:rPr>
      <w:rFonts w:ascii="Cambria" w:hAnsi="Cambria" w:cs="Cambria"/>
      <w:b/>
      <w:bCs/>
      <w:kern w:val="32"/>
      <w:sz w:val="32"/>
      <w:szCs w:val="32"/>
      <w:lang w:val="en-GB" w:eastAsia="fr-FR"/>
    </w:rPr>
  </w:style>
  <w:style w:type="character" w:customStyle="1" w:styleId="Heading2Char">
    <w:name w:val="Heading 2 Char"/>
    <w:basedOn w:val="DefaultParagraphFont"/>
    <w:link w:val="Heading2"/>
    <w:uiPriority w:val="99"/>
    <w:semiHidden/>
    <w:locked/>
    <w:rsid w:val="00C97E8D"/>
    <w:rPr>
      <w:rFonts w:ascii="Cambria" w:hAnsi="Cambria" w:cs="Cambria"/>
      <w:b/>
      <w:bCs/>
      <w:i/>
      <w:iCs/>
      <w:sz w:val="28"/>
      <w:szCs w:val="28"/>
      <w:lang w:val="en-GB" w:eastAsia="fr-FR"/>
    </w:rPr>
  </w:style>
  <w:style w:type="character" w:customStyle="1" w:styleId="Heading3Char">
    <w:name w:val="Heading 3 Char"/>
    <w:basedOn w:val="DefaultParagraphFont"/>
    <w:link w:val="Heading3"/>
    <w:uiPriority w:val="99"/>
    <w:semiHidden/>
    <w:locked/>
    <w:rsid w:val="00C97E8D"/>
    <w:rPr>
      <w:rFonts w:ascii="Cambria" w:hAnsi="Cambria" w:cs="Cambria"/>
      <w:b/>
      <w:bCs/>
      <w:sz w:val="26"/>
      <w:szCs w:val="26"/>
      <w:lang w:val="en-GB" w:eastAsia="fr-FR"/>
    </w:rPr>
  </w:style>
  <w:style w:type="character" w:customStyle="1" w:styleId="Heading4Char">
    <w:name w:val="Heading 4 Char"/>
    <w:basedOn w:val="DefaultParagraphFont"/>
    <w:link w:val="Heading4"/>
    <w:uiPriority w:val="99"/>
    <w:semiHidden/>
    <w:locked/>
    <w:rsid w:val="00C97E8D"/>
    <w:rPr>
      <w:rFonts w:ascii="Calibri" w:hAnsi="Calibri" w:cs="Calibri"/>
      <w:b/>
      <w:bCs/>
      <w:sz w:val="28"/>
      <w:szCs w:val="28"/>
      <w:lang w:val="en-GB" w:eastAsia="fr-FR"/>
    </w:rPr>
  </w:style>
  <w:style w:type="character" w:customStyle="1" w:styleId="Heading5Char">
    <w:name w:val="Heading 5 Char"/>
    <w:basedOn w:val="DefaultParagraphFont"/>
    <w:link w:val="Heading5"/>
    <w:uiPriority w:val="99"/>
    <w:semiHidden/>
    <w:locked/>
    <w:rsid w:val="00C97E8D"/>
    <w:rPr>
      <w:rFonts w:ascii="Calibri" w:hAnsi="Calibri" w:cs="Calibri"/>
      <w:b/>
      <w:bCs/>
      <w:i/>
      <w:iCs/>
      <w:sz w:val="26"/>
      <w:szCs w:val="26"/>
      <w:lang w:val="en-GB" w:eastAsia="fr-FR"/>
    </w:rPr>
  </w:style>
  <w:style w:type="character" w:customStyle="1" w:styleId="Heading6Char">
    <w:name w:val="Heading 6 Char"/>
    <w:basedOn w:val="DefaultParagraphFont"/>
    <w:link w:val="Heading6"/>
    <w:uiPriority w:val="99"/>
    <w:semiHidden/>
    <w:locked/>
    <w:rsid w:val="00C97E8D"/>
    <w:rPr>
      <w:rFonts w:ascii="Calibri" w:hAnsi="Calibri" w:cs="Calibri"/>
      <w:b/>
      <w:bCs/>
      <w:lang w:val="en-GB" w:eastAsia="fr-FR"/>
    </w:rPr>
  </w:style>
  <w:style w:type="character" w:customStyle="1" w:styleId="Heading7Char">
    <w:name w:val="Heading 7 Char"/>
    <w:basedOn w:val="DefaultParagraphFont"/>
    <w:link w:val="Heading7"/>
    <w:uiPriority w:val="99"/>
    <w:semiHidden/>
    <w:locked/>
    <w:rsid w:val="00C97E8D"/>
    <w:rPr>
      <w:rFonts w:ascii="Calibri" w:hAnsi="Calibri" w:cs="Calibri"/>
      <w:sz w:val="24"/>
      <w:szCs w:val="24"/>
      <w:lang w:val="en-GB" w:eastAsia="fr-FR"/>
    </w:rPr>
  </w:style>
  <w:style w:type="character" w:customStyle="1" w:styleId="Heading8Char">
    <w:name w:val="Heading 8 Char"/>
    <w:basedOn w:val="DefaultParagraphFont"/>
    <w:link w:val="Heading8"/>
    <w:uiPriority w:val="99"/>
    <w:semiHidden/>
    <w:locked/>
    <w:rsid w:val="00C97E8D"/>
    <w:rPr>
      <w:rFonts w:ascii="Calibri" w:hAnsi="Calibri" w:cs="Calibri"/>
      <w:i/>
      <w:iCs/>
      <w:sz w:val="24"/>
      <w:szCs w:val="24"/>
      <w:lang w:val="en-GB" w:eastAsia="fr-FR"/>
    </w:rPr>
  </w:style>
  <w:style w:type="character" w:customStyle="1" w:styleId="Heading9Char">
    <w:name w:val="Heading 9 Char"/>
    <w:basedOn w:val="DefaultParagraphFont"/>
    <w:link w:val="Heading9"/>
    <w:uiPriority w:val="99"/>
    <w:semiHidden/>
    <w:locked/>
    <w:rsid w:val="00C97E8D"/>
    <w:rPr>
      <w:rFonts w:ascii="Cambria" w:hAnsi="Cambria" w:cs="Cambria"/>
      <w:lang w:val="en-GB" w:eastAsia="fr-FR"/>
    </w:rPr>
  </w:style>
  <w:style w:type="paragraph" w:customStyle="1" w:styleId="OpiHA">
    <w:name w:val="Opi_H_A"/>
    <w:basedOn w:val="JuHIRoman"/>
    <w:next w:val="OpiPara"/>
    <w:uiPriority w:val="99"/>
    <w:rsid w:val="00302008"/>
    <w:pPr>
      <w:tabs>
        <w:tab w:val="clear" w:pos="357"/>
      </w:tabs>
    </w:pPr>
    <w:rPr>
      <w:b/>
      <w:bCs/>
    </w:rPr>
  </w:style>
  <w:style w:type="paragraph" w:customStyle="1" w:styleId="JuHIRoman">
    <w:name w:val="Ju_H_I_Roman"/>
    <w:basedOn w:val="JuHHead"/>
    <w:next w:val="JuPara"/>
    <w:uiPriority w:val="99"/>
    <w:rsid w:val="00D1288A"/>
    <w:pPr>
      <w:tabs>
        <w:tab w:val="left" w:pos="357"/>
      </w:tabs>
      <w:spacing w:before="360"/>
      <w:ind w:left="357" w:hanging="357"/>
      <w:outlineLvl w:val="1"/>
    </w:pPr>
    <w:rPr>
      <w:sz w:val="24"/>
      <w:szCs w:val="24"/>
    </w:rPr>
  </w:style>
  <w:style w:type="paragraph" w:customStyle="1" w:styleId="JuHHead">
    <w:name w:val="Ju_H_Head"/>
    <w:basedOn w:val="NormalTimesNewRoman"/>
    <w:next w:val="JuPara"/>
    <w:uiPriority w:val="99"/>
    <w:rsid w:val="00D1288A"/>
    <w:pPr>
      <w:keepNext/>
      <w:keepLines/>
      <w:spacing w:before="720" w:after="240"/>
      <w:jc w:val="both"/>
      <w:outlineLvl w:val="0"/>
    </w:pPr>
    <w:rPr>
      <w:sz w:val="28"/>
      <w:szCs w:val="28"/>
    </w:rPr>
  </w:style>
  <w:style w:type="character" w:customStyle="1" w:styleId="DefaultTimesNewRoman">
    <w:name w:val="Default_TimesNewRoman"/>
    <w:basedOn w:val="DefaultParagraphFont"/>
    <w:uiPriority w:val="99"/>
    <w:rsid w:val="00D1288A"/>
    <w:rPr>
      <w:rFonts w:ascii="Times New Roman" w:hAnsi="Times New Roman" w:cs="Times New Roman"/>
    </w:rPr>
  </w:style>
  <w:style w:type="paragraph" w:customStyle="1" w:styleId="JuPara">
    <w:name w:val="Ju_Para"/>
    <w:aliases w:val="Left,First line:  0 cm"/>
    <w:basedOn w:val="NormalTimesNewRoman"/>
    <w:link w:val="JuParaChar"/>
    <w:uiPriority w:val="99"/>
    <w:rsid w:val="00D1288A"/>
    <w:pPr>
      <w:ind w:firstLine="284"/>
      <w:jc w:val="both"/>
    </w:pPr>
  </w:style>
  <w:style w:type="character" w:customStyle="1" w:styleId="JuParaChar">
    <w:name w:val="Ju_Para Char"/>
    <w:basedOn w:val="DefaultParagraphFont"/>
    <w:link w:val="JuPara"/>
    <w:uiPriority w:val="99"/>
    <w:locked/>
    <w:rsid w:val="00B921A8"/>
    <w:rPr>
      <w:rFonts w:cs="Times New Roman"/>
      <w:sz w:val="24"/>
      <w:szCs w:val="24"/>
      <w:lang w:val="en-GB" w:eastAsia="fr-FR"/>
    </w:rPr>
  </w:style>
  <w:style w:type="paragraph" w:customStyle="1" w:styleId="OpiPara">
    <w:name w:val="Opi_Para"/>
    <w:basedOn w:val="JuPara"/>
    <w:uiPriority w:val="99"/>
    <w:rsid w:val="00302008"/>
  </w:style>
  <w:style w:type="paragraph" w:customStyle="1" w:styleId="OpiH1">
    <w:name w:val="Opi_H_1."/>
    <w:basedOn w:val="OpiHA"/>
    <w:next w:val="OpiPara"/>
    <w:uiPriority w:val="99"/>
    <w:rsid w:val="00302008"/>
    <w:pPr>
      <w:spacing w:before="240" w:after="120"/>
      <w:ind w:left="635"/>
      <w:outlineLvl w:val="2"/>
    </w:pPr>
    <w:rPr>
      <w:b w:val="0"/>
      <w:bCs w:val="0"/>
      <w:i/>
      <w:iCs/>
    </w:rPr>
  </w:style>
  <w:style w:type="paragraph" w:customStyle="1" w:styleId="OpiHa0">
    <w:name w:val="Opi_H_a"/>
    <w:basedOn w:val="OpiH1"/>
    <w:next w:val="OpiPara"/>
    <w:uiPriority w:val="99"/>
    <w:rsid w:val="00302008"/>
    <w:pPr>
      <w:ind w:left="833"/>
      <w:outlineLvl w:val="3"/>
    </w:pPr>
    <w:rPr>
      <w:b/>
      <w:bCs/>
      <w:i w:val="0"/>
      <w:iCs w:val="0"/>
      <w:sz w:val="20"/>
      <w:szCs w:val="20"/>
    </w:rPr>
  </w:style>
  <w:style w:type="paragraph" w:customStyle="1" w:styleId="OpiHHead">
    <w:name w:val="Opi_H_Head"/>
    <w:basedOn w:val="JuHHead"/>
    <w:next w:val="OpiPara"/>
    <w:uiPriority w:val="99"/>
    <w:rsid w:val="00302008"/>
    <w:pPr>
      <w:spacing w:before="0"/>
      <w:jc w:val="center"/>
    </w:pPr>
  </w:style>
  <w:style w:type="paragraph" w:customStyle="1" w:styleId="OpiHi">
    <w:name w:val="Opi_H_i"/>
    <w:basedOn w:val="OpiHa0"/>
    <w:next w:val="OpiPara"/>
    <w:uiPriority w:val="99"/>
    <w:rsid w:val="00302008"/>
    <w:pPr>
      <w:ind w:left="1037"/>
      <w:outlineLvl w:val="4"/>
    </w:pPr>
    <w:rPr>
      <w:b w:val="0"/>
      <w:bCs w:val="0"/>
      <w:i/>
      <w:iCs/>
    </w:rPr>
  </w:style>
  <w:style w:type="paragraph" w:styleId="Footer">
    <w:name w:val="footer"/>
    <w:basedOn w:val="NormalTimesNewRoman"/>
    <w:link w:val="FooterChar"/>
    <w:uiPriority w:val="99"/>
    <w:rsid w:val="00D1288A"/>
    <w:pPr>
      <w:tabs>
        <w:tab w:val="center" w:pos="3686"/>
        <w:tab w:val="right" w:pos="7371"/>
      </w:tabs>
    </w:pPr>
    <w:rPr>
      <w:sz w:val="18"/>
      <w:szCs w:val="18"/>
    </w:rPr>
  </w:style>
  <w:style w:type="character" w:customStyle="1" w:styleId="FooterChar">
    <w:name w:val="Footer Char"/>
    <w:basedOn w:val="DefaultParagraphFont"/>
    <w:link w:val="Footer"/>
    <w:uiPriority w:val="99"/>
    <w:locked/>
    <w:rsid w:val="004A6290"/>
    <w:rPr>
      <w:rFonts w:cs="Times New Roman"/>
      <w:sz w:val="18"/>
      <w:szCs w:val="18"/>
      <w:lang w:val="en-GB" w:eastAsia="fr-FR"/>
    </w:rPr>
  </w:style>
  <w:style w:type="paragraph" w:customStyle="1" w:styleId="JuJudges">
    <w:name w:val="Ju_Judges"/>
    <w:basedOn w:val="NormalTimesNewRoman"/>
    <w:link w:val="JuJudgesChar"/>
    <w:uiPriority w:val="99"/>
    <w:rsid w:val="00D1288A"/>
    <w:pPr>
      <w:tabs>
        <w:tab w:val="left" w:pos="567"/>
        <w:tab w:val="left" w:pos="1134"/>
      </w:tabs>
    </w:pPr>
  </w:style>
  <w:style w:type="character" w:customStyle="1" w:styleId="JuJudgesChar">
    <w:name w:val="Ju_Judges Char"/>
    <w:basedOn w:val="DefaultParagraphFont"/>
    <w:link w:val="JuJudges"/>
    <w:uiPriority w:val="99"/>
    <w:locked/>
    <w:rsid w:val="00D15473"/>
    <w:rPr>
      <w:rFonts w:cs="Times New Roman"/>
      <w:sz w:val="24"/>
      <w:szCs w:val="24"/>
      <w:lang w:val="en-GB" w:eastAsia="fr-FR"/>
    </w:rPr>
  </w:style>
  <w:style w:type="paragraph" w:customStyle="1" w:styleId="JuHA">
    <w:name w:val="Ju_H_A"/>
    <w:basedOn w:val="JuHIRoman"/>
    <w:next w:val="JuPara"/>
    <w:uiPriority w:val="99"/>
    <w:rsid w:val="00D1288A"/>
    <w:pPr>
      <w:tabs>
        <w:tab w:val="clear" w:pos="357"/>
        <w:tab w:val="left" w:pos="584"/>
      </w:tabs>
      <w:ind w:left="584" w:hanging="352"/>
      <w:outlineLvl w:val="2"/>
    </w:pPr>
    <w:rPr>
      <w:b/>
      <w:bCs/>
    </w:rPr>
  </w:style>
  <w:style w:type="paragraph" w:customStyle="1" w:styleId="JuQuot">
    <w:name w:val="Ju_Quot"/>
    <w:basedOn w:val="JuPara"/>
    <w:link w:val="JuQuotChar"/>
    <w:uiPriority w:val="99"/>
    <w:rsid w:val="00D1288A"/>
    <w:pPr>
      <w:spacing w:before="120" w:after="120"/>
      <w:ind w:left="425" w:firstLine="142"/>
    </w:pPr>
    <w:rPr>
      <w:sz w:val="20"/>
      <w:szCs w:val="20"/>
    </w:rPr>
  </w:style>
  <w:style w:type="paragraph" w:customStyle="1" w:styleId="JuSigned">
    <w:name w:val="Ju_Signed"/>
    <w:basedOn w:val="NormalTimesNewRoman"/>
    <w:next w:val="JuParaLast"/>
    <w:link w:val="JuSignedChar"/>
    <w:uiPriority w:val="99"/>
    <w:rsid w:val="00D1288A"/>
    <w:pPr>
      <w:tabs>
        <w:tab w:val="center" w:pos="851"/>
        <w:tab w:val="center" w:pos="6407"/>
      </w:tabs>
      <w:spacing w:before="720"/>
    </w:pPr>
  </w:style>
  <w:style w:type="paragraph" w:customStyle="1" w:styleId="JuParaLast">
    <w:name w:val="Ju_Para_Last"/>
    <w:basedOn w:val="JuPara"/>
    <w:next w:val="JuPara"/>
    <w:uiPriority w:val="99"/>
    <w:rsid w:val="00D1288A"/>
    <w:pPr>
      <w:keepNext/>
      <w:keepLines/>
      <w:spacing w:before="240"/>
    </w:pPr>
  </w:style>
  <w:style w:type="character" w:customStyle="1" w:styleId="JuSignedChar">
    <w:name w:val="Ju_Signed Char"/>
    <w:basedOn w:val="DefaultParagraphFont"/>
    <w:link w:val="JuSigned"/>
    <w:uiPriority w:val="99"/>
    <w:locked/>
    <w:rsid w:val="000726F6"/>
    <w:rPr>
      <w:rFonts w:cs="Times New Roman"/>
      <w:sz w:val="24"/>
      <w:szCs w:val="24"/>
      <w:lang w:val="en-GB" w:eastAsia="fr-FR"/>
    </w:rPr>
  </w:style>
  <w:style w:type="paragraph" w:customStyle="1" w:styleId="JuCase">
    <w:name w:val="Ju_Case"/>
    <w:basedOn w:val="JuPara"/>
    <w:next w:val="JuPara"/>
    <w:link w:val="JuCaseChar"/>
    <w:uiPriority w:val="99"/>
    <w:rsid w:val="00D1288A"/>
    <w:rPr>
      <w:b/>
      <w:bCs/>
    </w:rPr>
  </w:style>
  <w:style w:type="character" w:customStyle="1" w:styleId="JuCaseChar">
    <w:name w:val="Ju_Case Char"/>
    <w:basedOn w:val="JuParaChar"/>
    <w:link w:val="JuCase"/>
    <w:uiPriority w:val="99"/>
    <w:locked/>
    <w:rsid w:val="00B921A8"/>
    <w:rPr>
      <w:rFonts w:cs="Times New Roman"/>
      <w:b/>
      <w:bCs/>
      <w:sz w:val="24"/>
      <w:szCs w:val="24"/>
      <w:lang w:val="en-GB" w:eastAsia="fr-FR"/>
    </w:rPr>
  </w:style>
  <w:style w:type="paragraph" w:customStyle="1" w:styleId="JuList">
    <w:name w:val="Ju_List"/>
    <w:basedOn w:val="JuPara"/>
    <w:link w:val="JuListChar"/>
    <w:uiPriority w:val="99"/>
    <w:rsid w:val="00D1288A"/>
    <w:pPr>
      <w:ind w:left="340" w:hanging="340"/>
    </w:pPr>
  </w:style>
  <w:style w:type="character" w:customStyle="1" w:styleId="JuListChar">
    <w:name w:val="Ju_List Char"/>
    <w:basedOn w:val="DefaultParagraphFont"/>
    <w:link w:val="JuList"/>
    <w:uiPriority w:val="99"/>
    <w:locked/>
    <w:rsid w:val="00930CD7"/>
    <w:rPr>
      <w:rFonts w:cs="Times New Roman"/>
      <w:sz w:val="24"/>
      <w:szCs w:val="24"/>
      <w:lang w:val="en-GB" w:eastAsia="fr-FR"/>
    </w:rPr>
  </w:style>
  <w:style w:type="paragraph" w:customStyle="1" w:styleId="JuHArticle">
    <w:name w:val="Ju_H_Article"/>
    <w:basedOn w:val="JuHa0"/>
    <w:next w:val="JuQuot"/>
    <w:uiPriority w:val="99"/>
    <w:rsid w:val="00D1288A"/>
    <w:pPr>
      <w:ind w:left="0" w:firstLine="0"/>
      <w:jc w:val="center"/>
    </w:pPr>
  </w:style>
  <w:style w:type="paragraph" w:customStyle="1" w:styleId="JuHa0">
    <w:name w:val="Ju_H_a"/>
    <w:basedOn w:val="JuH1"/>
    <w:next w:val="JuPara"/>
    <w:uiPriority w:val="99"/>
    <w:rsid w:val="00D1288A"/>
    <w:pPr>
      <w:tabs>
        <w:tab w:val="clear" w:pos="731"/>
        <w:tab w:val="left" w:pos="975"/>
      </w:tabs>
      <w:ind w:left="975" w:hanging="340"/>
      <w:outlineLvl w:val="4"/>
    </w:pPr>
    <w:rPr>
      <w:b/>
      <w:bCs/>
      <w:i w:val="0"/>
      <w:iCs w:val="0"/>
      <w:sz w:val="20"/>
      <w:szCs w:val="20"/>
    </w:rPr>
  </w:style>
  <w:style w:type="paragraph" w:customStyle="1" w:styleId="JuH1">
    <w:name w:val="Ju_H_1."/>
    <w:basedOn w:val="JuHA"/>
    <w:next w:val="JuPara"/>
    <w:uiPriority w:val="99"/>
    <w:rsid w:val="00D1288A"/>
    <w:pPr>
      <w:tabs>
        <w:tab w:val="clear" w:pos="584"/>
        <w:tab w:val="left" w:pos="731"/>
      </w:tabs>
      <w:spacing w:before="240" w:after="120"/>
      <w:ind w:left="732" w:hanging="301"/>
      <w:outlineLvl w:val="3"/>
    </w:pPr>
    <w:rPr>
      <w:b w:val="0"/>
      <w:bCs w:val="0"/>
      <w:i/>
      <w:iCs/>
    </w:rPr>
  </w:style>
  <w:style w:type="paragraph" w:customStyle="1" w:styleId="JuQuotList">
    <w:name w:val="Ju_Quot_List"/>
    <w:basedOn w:val="JuQuot"/>
    <w:uiPriority w:val="99"/>
    <w:rsid w:val="00733477"/>
    <w:pPr>
      <w:tabs>
        <w:tab w:val="left" w:pos="1021"/>
      </w:tabs>
      <w:ind w:left="567" w:firstLine="0"/>
    </w:pPr>
  </w:style>
  <w:style w:type="paragraph" w:customStyle="1" w:styleId="JuCourt">
    <w:name w:val="Ju_Court"/>
    <w:basedOn w:val="JuJudges"/>
    <w:uiPriority w:val="99"/>
    <w:rsid w:val="00D1288A"/>
    <w:pPr>
      <w:tabs>
        <w:tab w:val="clear" w:pos="567"/>
        <w:tab w:val="clear" w:pos="1134"/>
        <w:tab w:val="left" w:pos="907"/>
        <w:tab w:val="left" w:pos="1701"/>
        <w:tab w:val="right" w:pos="7371"/>
      </w:tabs>
      <w:spacing w:before="240"/>
      <w:ind w:left="397" w:hanging="397"/>
    </w:pPr>
  </w:style>
  <w:style w:type="paragraph" w:customStyle="1" w:styleId="OpiQuot">
    <w:name w:val="Opi_Quot"/>
    <w:basedOn w:val="JuQuot"/>
    <w:uiPriority w:val="99"/>
    <w:rsid w:val="00302008"/>
  </w:style>
  <w:style w:type="paragraph" w:customStyle="1" w:styleId="OpiTranslation">
    <w:name w:val="Opi_Translation"/>
    <w:basedOn w:val="OpiHHead"/>
    <w:next w:val="OpiPara"/>
    <w:uiPriority w:val="99"/>
    <w:rsid w:val="00302008"/>
    <w:rPr>
      <w:i/>
      <w:iCs/>
      <w:sz w:val="24"/>
      <w:szCs w:val="24"/>
    </w:rPr>
  </w:style>
  <w:style w:type="paragraph" w:styleId="FootnoteText">
    <w:name w:val="footnote text"/>
    <w:basedOn w:val="Normal"/>
    <w:link w:val="FootnoteTextChar"/>
    <w:uiPriority w:val="99"/>
    <w:semiHidden/>
    <w:rsid w:val="00D1288A"/>
    <w:pPr>
      <w:jc w:val="both"/>
    </w:pPr>
    <w:rPr>
      <w:sz w:val="20"/>
      <w:szCs w:val="20"/>
    </w:rPr>
  </w:style>
  <w:style w:type="character" w:customStyle="1" w:styleId="FootnoteTextChar">
    <w:name w:val="Footnote Text Char"/>
    <w:basedOn w:val="DefaultParagraphFont"/>
    <w:link w:val="FootnoteText"/>
    <w:uiPriority w:val="99"/>
    <w:semiHidden/>
    <w:locked/>
    <w:rsid w:val="00C97E8D"/>
    <w:rPr>
      <w:rFonts w:cs="Times New Roman"/>
      <w:sz w:val="20"/>
      <w:szCs w:val="20"/>
      <w:lang w:val="en-GB" w:eastAsia="fr-FR"/>
    </w:rPr>
  </w:style>
  <w:style w:type="character" w:styleId="FootnoteReference">
    <w:name w:val="footnote reference"/>
    <w:basedOn w:val="DefaultParagraphFont"/>
    <w:uiPriority w:val="99"/>
    <w:semiHidden/>
    <w:rsid w:val="00D1288A"/>
    <w:rPr>
      <w:rFonts w:cs="Times New Roman"/>
      <w:vertAlign w:val="superscript"/>
    </w:rPr>
  </w:style>
  <w:style w:type="paragraph" w:customStyle="1" w:styleId="JuHi">
    <w:name w:val="Ju_H_i"/>
    <w:basedOn w:val="JuHa0"/>
    <w:next w:val="JuPara"/>
    <w:uiPriority w:val="99"/>
    <w:rsid w:val="00D1288A"/>
    <w:pPr>
      <w:tabs>
        <w:tab w:val="clear" w:pos="975"/>
        <w:tab w:val="left" w:pos="1191"/>
      </w:tabs>
      <w:ind w:left="1190" w:hanging="357"/>
      <w:outlineLvl w:val="5"/>
    </w:pPr>
    <w:rPr>
      <w:b w:val="0"/>
      <w:bCs w:val="0"/>
      <w:i/>
      <w:iCs/>
    </w:rPr>
  </w:style>
  <w:style w:type="paragraph" w:styleId="Header">
    <w:name w:val="header"/>
    <w:basedOn w:val="NormalTimesNewRoman"/>
    <w:link w:val="HeaderChar"/>
    <w:uiPriority w:val="99"/>
    <w:rsid w:val="00D1288A"/>
    <w:pPr>
      <w:tabs>
        <w:tab w:val="center" w:pos="3686"/>
        <w:tab w:val="right" w:pos="7371"/>
      </w:tabs>
    </w:pPr>
    <w:rPr>
      <w:sz w:val="18"/>
      <w:szCs w:val="18"/>
    </w:rPr>
  </w:style>
  <w:style w:type="character" w:customStyle="1" w:styleId="HeaderChar">
    <w:name w:val="Header Char"/>
    <w:basedOn w:val="DefaultParagraphFont"/>
    <w:link w:val="Header"/>
    <w:uiPriority w:val="99"/>
    <w:semiHidden/>
    <w:locked/>
    <w:rsid w:val="00C97E8D"/>
    <w:rPr>
      <w:rFonts w:cs="Times New Roman"/>
      <w:sz w:val="20"/>
      <w:szCs w:val="20"/>
      <w:lang w:val="en-GB" w:eastAsia="fr-FR"/>
    </w:rPr>
  </w:style>
  <w:style w:type="character" w:styleId="PageNumber">
    <w:name w:val="page number"/>
    <w:basedOn w:val="DefaultParagraphFont"/>
    <w:uiPriority w:val="99"/>
    <w:rsid w:val="00D1288A"/>
    <w:rPr>
      <w:rFonts w:cs="Times New Roman"/>
      <w:sz w:val="18"/>
      <w:szCs w:val="18"/>
    </w:rPr>
  </w:style>
  <w:style w:type="paragraph" w:customStyle="1" w:styleId="JuH">
    <w:name w:val="Ju_H_–"/>
    <w:basedOn w:val="JuHalpha"/>
    <w:next w:val="JuPara"/>
    <w:uiPriority w:val="99"/>
    <w:rsid w:val="00D1288A"/>
    <w:pPr>
      <w:tabs>
        <w:tab w:val="clear" w:pos="1372"/>
      </w:tabs>
      <w:ind w:left="1236" w:firstLine="0"/>
    </w:pPr>
    <w:rPr>
      <w:i/>
      <w:iCs/>
    </w:rPr>
  </w:style>
  <w:style w:type="paragraph" w:customStyle="1" w:styleId="JuHalpha">
    <w:name w:val="Ju_H_alpha"/>
    <w:basedOn w:val="JuHi"/>
    <w:next w:val="JuPara"/>
    <w:uiPriority w:val="99"/>
    <w:rsid w:val="00D1288A"/>
    <w:pPr>
      <w:tabs>
        <w:tab w:val="clear" w:pos="1191"/>
        <w:tab w:val="left" w:pos="1372"/>
      </w:tabs>
      <w:ind w:left="1373" w:hanging="335"/>
    </w:pPr>
    <w:rPr>
      <w:i w:val="0"/>
      <w:iCs w:val="0"/>
    </w:rPr>
  </w:style>
  <w:style w:type="paragraph" w:customStyle="1" w:styleId="JuLista">
    <w:name w:val="Ju_List_a"/>
    <w:basedOn w:val="JuList"/>
    <w:uiPriority w:val="99"/>
    <w:rsid w:val="00D1288A"/>
    <w:pPr>
      <w:ind w:left="346" w:firstLine="0"/>
    </w:pPr>
  </w:style>
  <w:style w:type="paragraph" w:customStyle="1" w:styleId="JuListi">
    <w:name w:val="Ju_List_i"/>
    <w:basedOn w:val="JuLista"/>
    <w:uiPriority w:val="99"/>
    <w:rsid w:val="00D1288A"/>
    <w:pPr>
      <w:ind w:left="794"/>
    </w:pPr>
  </w:style>
  <w:style w:type="character" w:styleId="CommentReference">
    <w:name w:val="annotation reference"/>
    <w:basedOn w:val="DefaultParagraphFont"/>
    <w:uiPriority w:val="99"/>
    <w:semiHidden/>
    <w:rsid w:val="00733477"/>
    <w:rPr>
      <w:rFonts w:cs="Times New Roman"/>
      <w:sz w:val="16"/>
      <w:szCs w:val="16"/>
    </w:rPr>
  </w:style>
  <w:style w:type="paragraph" w:styleId="CommentText">
    <w:name w:val="annotation text"/>
    <w:basedOn w:val="Normal"/>
    <w:link w:val="CommentTextChar"/>
    <w:uiPriority w:val="99"/>
    <w:semiHidden/>
    <w:rsid w:val="00733477"/>
    <w:rPr>
      <w:sz w:val="20"/>
      <w:szCs w:val="20"/>
    </w:rPr>
  </w:style>
  <w:style w:type="character" w:customStyle="1" w:styleId="CommentTextChar">
    <w:name w:val="Comment Text Char"/>
    <w:basedOn w:val="DefaultParagraphFont"/>
    <w:link w:val="CommentText"/>
    <w:uiPriority w:val="99"/>
    <w:semiHidden/>
    <w:locked/>
    <w:rsid w:val="00C97E8D"/>
    <w:rPr>
      <w:rFonts w:cs="Times New Roman"/>
      <w:sz w:val="20"/>
      <w:szCs w:val="20"/>
      <w:lang w:val="en-GB" w:eastAsia="fr-FR"/>
    </w:rPr>
  </w:style>
  <w:style w:type="paragraph" w:customStyle="1" w:styleId="JuInitialled">
    <w:name w:val="Ju_Initialled"/>
    <w:basedOn w:val="JuSigned"/>
    <w:uiPriority w:val="99"/>
    <w:rsid w:val="00D1288A"/>
    <w:pPr>
      <w:tabs>
        <w:tab w:val="clear" w:pos="851"/>
      </w:tabs>
      <w:jc w:val="right"/>
    </w:pPr>
  </w:style>
  <w:style w:type="paragraph" w:customStyle="1" w:styleId="JuHeader">
    <w:name w:val="Ju_Header"/>
    <w:basedOn w:val="Header"/>
    <w:uiPriority w:val="99"/>
    <w:rsid w:val="00D1288A"/>
  </w:style>
  <w:style w:type="paragraph" w:customStyle="1" w:styleId="DecHTitle">
    <w:name w:val="Dec_H_Title"/>
    <w:basedOn w:val="Normal"/>
    <w:uiPriority w:val="99"/>
    <w:rsid w:val="0037228D"/>
    <w:pPr>
      <w:spacing w:after="240"/>
      <w:jc w:val="center"/>
      <w:outlineLvl w:val="0"/>
    </w:pPr>
    <w:rPr>
      <w:sz w:val="28"/>
      <w:szCs w:val="28"/>
    </w:rPr>
  </w:style>
  <w:style w:type="paragraph" w:customStyle="1" w:styleId="DecHCase">
    <w:name w:val="Dec_H_Case"/>
    <w:basedOn w:val="DecHTitle"/>
    <w:next w:val="JuPara"/>
    <w:uiPriority w:val="99"/>
    <w:rsid w:val="00302008"/>
    <w:rPr>
      <w:sz w:val="24"/>
      <w:szCs w:val="24"/>
    </w:rPr>
  </w:style>
  <w:style w:type="paragraph" w:customStyle="1" w:styleId="DecList">
    <w:name w:val="Dec_List"/>
    <w:basedOn w:val="Normal"/>
    <w:uiPriority w:val="99"/>
    <w:rsid w:val="0037228D"/>
    <w:pPr>
      <w:spacing w:before="240"/>
      <w:ind w:left="284"/>
      <w:jc w:val="both"/>
    </w:pPr>
  </w:style>
  <w:style w:type="paragraph" w:customStyle="1" w:styleId="JuParaSub">
    <w:name w:val="Ju_Para_Sub"/>
    <w:basedOn w:val="JuPara"/>
    <w:uiPriority w:val="99"/>
    <w:rsid w:val="00D1288A"/>
    <w:pPr>
      <w:ind w:left="284"/>
    </w:pPr>
  </w:style>
  <w:style w:type="paragraph" w:customStyle="1" w:styleId="JuQuotSub">
    <w:name w:val="Ju_Quot_Sub"/>
    <w:basedOn w:val="JuQuot"/>
    <w:uiPriority w:val="99"/>
    <w:rsid w:val="00D1288A"/>
    <w:pPr>
      <w:ind w:left="567"/>
    </w:pPr>
  </w:style>
  <w:style w:type="paragraph" w:styleId="BalloonText">
    <w:name w:val="Balloon Text"/>
    <w:basedOn w:val="Normal"/>
    <w:link w:val="BalloonTextChar"/>
    <w:uiPriority w:val="99"/>
    <w:semiHidden/>
    <w:rsid w:val="00457A1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97E8D"/>
    <w:rPr>
      <w:rFonts w:cs="Times New Roman"/>
      <w:sz w:val="2"/>
      <w:szCs w:val="2"/>
      <w:lang w:val="en-GB" w:eastAsia="fr-FR"/>
    </w:rPr>
  </w:style>
  <w:style w:type="paragraph" w:styleId="CommentSubject">
    <w:name w:val="annotation subject"/>
    <w:basedOn w:val="CommentText"/>
    <w:next w:val="CommentText"/>
    <w:link w:val="CommentSubjectChar"/>
    <w:uiPriority w:val="99"/>
    <w:semiHidden/>
    <w:rsid w:val="00D353F4"/>
    <w:rPr>
      <w:b/>
      <w:bCs/>
    </w:rPr>
  </w:style>
  <w:style w:type="character" w:customStyle="1" w:styleId="CommentSubjectChar">
    <w:name w:val="Comment Subject Char"/>
    <w:basedOn w:val="CommentTextChar"/>
    <w:link w:val="CommentSubject"/>
    <w:uiPriority w:val="99"/>
    <w:semiHidden/>
    <w:locked/>
    <w:rsid w:val="00C97E8D"/>
    <w:rPr>
      <w:rFonts w:cs="Times New Roman"/>
      <w:b/>
      <w:bCs/>
      <w:sz w:val="20"/>
      <w:szCs w:val="20"/>
      <w:lang w:val="en-GB" w:eastAsia="fr-FR"/>
    </w:rPr>
  </w:style>
  <w:style w:type="character" w:styleId="EndnoteReference">
    <w:name w:val="endnote reference"/>
    <w:basedOn w:val="DefaultParagraphFont"/>
    <w:uiPriority w:val="99"/>
    <w:semiHidden/>
    <w:rsid w:val="00D1288A"/>
    <w:rPr>
      <w:rFonts w:cs="Times New Roman"/>
      <w:vertAlign w:val="superscript"/>
    </w:rPr>
  </w:style>
  <w:style w:type="paragraph" w:styleId="EndnoteText">
    <w:name w:val="endnote text"/>
    <w:basedOn w:val="Normal"/>
    <w:link w:val="EndnoteTextChar"/>
    <w:uiPriority w:val="99"/>
    <w:semiHidden/>
    <w:rsid w:val="00D1288A"/>
    <w:rPr>
      <w:sz w:val="20"/>
      <w:szCs w:val="20"/>
    </w:rPr>
  </w:style>
  <w:style w:type="character" w:customStyle="1" w:styleId="EndnoteTextChar">
    <w:name w:val="Endnote Text Char"/>
    <w:basedOn w:val="DefaultParagraphFont"/>
    <w:link w:val="EndnoteText"/>
    <w:uiPriority w:val="99"/>
    <w:semiHidden/>
    <w:locked/>
    <w:rsid w:val="00C97E8D"/>
    <w:rPr>
      <w:rFonts w:cs="Times New Roman"/>
      <w:sz w:val="20"/>
      <w:szCs w:val="20"/>
      <w:lang w:val="en-GB" w:eastAsia="fr-FR"/>
    </w:rPr>
  </w:style>
  <w:style w:type="character" w:styleId="FollowedHyperlink">
    <w:name w:val="FollowedHyperlink"/>
    <w:basedOn w:val="DefaultParagraphFont"/>
    <w:uiPriority w:val="99"/>
    <w:rsid w:val="00D1288A"/>
    <w:rPr>
      <w:rFonts w:cs="Times New Roman"/>
      <w:color w:val="800080"/>
      <w:u w:val="single"/>
    </w:rPr>
  </w:style>
  <w:style w:type="paragraph" w:customStyle="1" w:styleId="SuCoverTitle1">
    <w:name w:val="Su_Cover_Title1"/>
    <w:basedOn w:val="Normal"/>
    <w:next w:val="SuCoverTitle2"/>
    <w:uiPriority w:val="99"/>
    <w:rsid w:val="0037228D"/>
    <w:pPr>
      <w:spacing w:before="2500"/>
      <w:jc w:val="center"/>
    </w:pPr>
    <w:rPr>
      <w:sz w:val="22"/>
      <w:szCs w:val="22"/>
    </w:rPr>
  </w:style>
  <w:style w:type="paragraph" w:customStyle="1" w:styleId="SuCoverTitle2">
    <w:name w:val="Su_Cover_Title2"/>
    <w:basedOn w:val="SuCoverTitle1"/>
    <w:next w:val="Normal"/>
    <w:uiPriority w:val="99"/>
    <w:rsid w:val="00864209"/>
    <w:pPr>
      <w:spacing w:before="240"/>
    </w:pPr>
    <w:rPr>
      <w:sz w:val="18"/>
      <w:szCs w:val="18"/>
    </w:rPr>
  </w:style>
  <w:style w:type="paragraph" w:customStyle="1" w:styleId="SuPara">
    <w:name w:val="Su_Para"/>
    <w:basedOn w:val="SuKeywords"/>
    <w:uiPriority w:val="99"/>
    <w:rsid w:val="00864209"/>
    <w:pPr>
      <w:spacing w:before="0" w:after="0"/>
    </w:pPr>
    <w:rPr>
      <w:i w:val="0"/>
      <w:iCs w:val="0"/>
    </w:rPr>
  </w:style>
  <w:style w:type="paragraph" w:customStyle="1" w:styleId="SuKeywords">
    <w:name w:val="Su_Keywords"/>
    <w:basedOn w:val="SuHHead"/>
    <w:uiPriority w:val="99"/>
    <w:rsid w:val="00864209"/>
    <w:pPr>
      <w:spacing w:before="120"/>
    </w:pPr>
    <w:rPr>
      <w:b w:val="0"/>
      <w:bCs w:val="0"/>
      <w:i/>
      <w:iCs/>
    </w:rPr>
  </w:style>
  <w:style w:type="paragraph" w:customStyle="1" w:styleId="SuHHead">
    <w:name w:val="Su_H_Head"/>
    <w:basedOn w:val="SuSubject"/>
    <w:uiPriority w:val="99"/>
    <w:rsid w:val="00864209"/>
    <w:pPr>
      <w:spacing w:after="120"/>
    </w:pPr>
  </w:style>
  <w:style w:type="paragraph" w:customStyle="1" w:styleId="SuSubject">
    <w:name w:val="Su_Subject"/>
    <w:basedOn w:val="SuSummary"/>
    <w:uiPriority w:val="99"/>
    <w:rsid w:val="00864209"/>
    <w:pPr>
      <w:suppressAutoHyphens w:val="0"/>
      <w:spacing w:before="360"/>
      <w:jc w:val="both"/>
    </w:pPr>
    <w:rPr>
      <w:b/>
      <w:bCs/>
      <w:sz w:val="22"/>
      <w:szCs w:val="22"/>
    </w:rPr>
  </w:style>
  <w:style w:type="paragraph" w:customStyle="1" w:styleId="SuSummary">
    <w:name w:val="Su_Summary"/>
    <w:basedOn w:val="Normal"/>
    <w:next w:val="SuSubject"/>
    <w:uiPriority w:val="99"/>
    <w:rsid w:val="0037228D"/>
    <w:pPr>
      <w:spacing w:after="240"/>
      <w:jc w:val="center"/>
    </w:pPr>
  </w:style>
  <w:style w:type="paragraph" w:customStyle="1" w:styleId="OpiParaSub">
    <w:name w:val="Opi_Para_Sub"/>
    <w:basedOn w:val="JuParaSub"/>
    <w:uiPriority w:val="99"/>
    <w:rsid w:val="00302008"/>
  </w:style>
  <w:style w:type="paragraph" w:customStyle="1" w:styleId="OpiQuotSub">
    <w:name w:val="Opi_Quot_Sub"/>
    <w:basedOn w:val="JuQuotSub"/>
    <w:uiPriority w:val="99"/>
    <w:rsid w:val="00302008"/>
  </w:style>
  <w:style w:type="character" w:styleId="Hyperlink">
    <w:name w:val="Hyperlink"/>
    <w:basedOn w:val="DefaultParagraphFont"/>
    <w:uiPriority w:val="99"/>
    <w:rsid w:val="00D1288A"/>
    <w:rPr>
      <w:rFonts w:cs="Times New Roman"/>
      <w:color w:val="0000FF"/>
      <w:u w:val="single"/>
    </w:rPr>
  </w:style>
  <w:style w:type="character" w:styleId="Strong">
    <w:name w:val="Strong"/>
    <w:basedOn w:val="DefaultParagraphFont"/>
    <w:uiPriority w:val="99"/>
    <w:qFormat/>
    <w:rsid w:val="00AA7CA2"/>
    <w:rPr>
      <w:rFonts w:cs="Times New Roman"/>
      <w:b/>
      <w:bCs/>
    </w:rPr>
  </w:style>
  <w:style w:type="paragraph" w:styleId="DocumentMap">
    <w:name w:val="Document Map"/>
    <w:basedOn w:val="Normal"/>
    <w:link w:val="DocumentMapChar"/>
    <w:uiPriority w:val="99"/>
    <w:semiHidden/>
    <w:rsid w:val="008824B9"/>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C97E8D"/>
    <w:rPr>
      <w:rFonts w:cs="Times New Roman"/>
      <w:sz w:val="2"/>
      <w:szCs w:val="2"/>
      <w:lang w:val="en-GB" w:eastAsia="fr-FR"/>
    </w:rPr>
  </w:style>
  <w:style w:type="character" w:customStyle="1" w:styleId="JuNames">
    <w:name w:val="Ju_Names"/>
    <w:basedOn w:val="DefaultParagraphFont"/>
    <w:uiPriority w:val="99"/>
    <w:rsid w:val="00D1288A"/>
    <w:rPr>
      <w:rFonts w:cs="Times New Roman"/>
      <w:smallCaps/>
    </w:rPr>
  </w:style>
  <w:style w:type="paragraph" w:customStyle="1" w:styleId="NormalJustified">
    <w:name w:val="Normal_Justified"/>
    <w:basedOn w:val="Normal"/>
    <w:uiPriority w:val="99"/>
    <w:rsid w:val="008824B9"/>
    <w:pPr>
      <w:jc w:val="both"/>
    </w:pPr>
  </w:style>
  <w:style w:type="paragraph" w:customStyle="1" w:styleId="JuAppQuestion">
    <w:name w:val="Ju_App_Question"/>
    <w:basedOn w:val="ListBullet"/>
    <w:uiPriority w:val="99"/>
    <w:rsid w:val="00D1288A"/>
    <w:pPr>
      <w:numPr>
        <w:numId w:val="0"/>
      </w:numPr>
      <w:tabs>
        <w:tab w:val="num" w:pos="720"/>
      </w:tabs>
      <w:suppressAutoHyphens w:val="0"/>
      <w:ind w:left="720" w:hanging="360"/>
    </w:pPr>
    <w:rPr>
      <w:b/>
      <w:bCs/>
      <w:color w:val="333333"/>
    </w:rPr>
  </w:style>
  <w:style w:type="paragraph" w:styleId="ListBullet">
    <w:name w:val="List Bullet"/>
    <w:basedOn w:val="Normal"/>
    <w:uiPriority w:val="99"/>
    <w:rsid w:val="008824B9"/>
    <w:pPr>
      <w:numPr>
        <w:numId w:val="18"/>
      </w:numPr>
    </w:pPr>
  </w:style>
  <w:style w:type="paragraph" w:customStyle="1" w:styleId="NormalTimesNewRoman">
    <w:name w:val="Normal_TimesNewRoman"/>
    <w:uiPriority w:val="99"/>
    <w:rsid w:val="00D1288A"/>
    <w:rPr>
      <w:sz w:val="24"/>
      <w:szCs w:val="24"/>
      <w:lang w:val="en-GB" w:eastAsia="fr-FR"/>
    </w:rPr>
  </w:style>
  <w:style w:type="character" w:customStyle="1" w:styleId="JuITMark">
    <w:name w:val="Ju_ITMark"/>
    <w:basedOn w:val="DefaultTimesNewRoman"/>
    <w:uiPriority w:val="99"/>
    <w:rsid w:val="00D1288A"/>
    <w:rPr>
      <w:rFonts w:ascii="Times New Roman" w:hAnsi="Times New Roman" w:cs="Times New Roman"/>
      <w:vanish/>
      <w:color w:val="auto"/>
      <w:sz w:val="16"/>
      <w:szCs w:val="16"/>
      <w:lang w:val="fi-FI"/>
    </w:rPr>
  </w:style>
  <w:style w:type="paragraph" w:customStyle="1" w:styleId="JuTitle">
    <w:name w:val="Ju_Title"/>
    <w:basedOn w:val="JuHHead"/>
    <w:next w:val="JuPara"/>
    <w:uiPriority w:val="99"/>
    <w:rsid w:val="00D1288A"/>
    <w:pPr>
      <w:jc w:val="center"/>
    </w:pPr>
    <w:rPr>
      <w:b/>
      <w:bCs/>
      <w:caps/>
      <w:sz w:val="24"/>
      <w:szCs w:val="24"/>
      <w:u w:val="single"/>
    </w:rPr>
  </w:style>
  <w:style w:type="character" w:customStyle="1" w:styleId="JuParaCar">
    <w:name w:val="Ju_Para Car"/>
    <w:basedOn w:val="DefaultParagraphFont"/>
    <w:uiPriority w:val="99"/>
    <w:rsid w:val="004E5D00"/>
    <w:rPr>
      <w:rFonts w:cs="Times New Roman"/>
      <w:sz w:val="24"/>
      <w:szCs w:val="24"/>
      <w:lang w:val="en-GB" w:eastAsia="fr-FR"/>
    </w:rPr>
  </w:style>
  <w:style w:type="character" w:customStyle="1" w:styleId="JuQuotChar">
    <w:name w:val="Ju_Quot Char"/>
    <w:basedOn w:val="JuParaChar"/>
    <w:link w:val="JuQuot"/>
    <w:uiPriority w:val="99"/>
    <w:locked/>
    <w:rsid w:val="00124EA6"/>
    <w:rPr>
      <w:rFonts w:cs="Times New Roman"/>
      <w:sz w:val="24"/>
      <w:szCs w:val="24"/>
      <w:lang w:val="en-GB" w:eastAsia="fr-FR"/>
    </w:rPr>
  </w:style>
  <w:style w:type="character" w:customStyle="1" w:styleId="ju-005fpara-002cleft-002cfirst-0020line-003a-0020-00200-0020cm--char">
    <w:name w:val="ju-005fpara-002cleft-002cfirst-0020line-003a-0020-00200-0020cm--char"/>
    <w:basedOn w:val="DefaultParagraphFont"/>
    <w:uiPriority w:val="99"/>
    <w:rsid w:val="00FD78F2"/>
    <w:rPr>
      <w:rFonts w:cs="Times New Roman"/>
    </w:rPr>
  </w:style>
  <w:style w:type="character" w:customStyle="1" w:styleId="JuParaChar1">
    <w:name w:val="Ju_Para Char1"/>
    <w:basedOn w:val="DefaultParagraphFont"/>
    <w:uiPriority w:val="99"/>
    <w:rsid w:val="00663803"/>
    <w:rPr>
      <w:rFonts w:cs="Times New Roman"/>
      <w:sz w:val="24"/>
      <w:szCs w:val="24"/>
      <w:lang w:val="en-GB" w:eastAsia="ar-SA" w:bidi="ar-SA"/>
    </w:rPr>
  </w:style>
  <w:style w:type="character" w:customStyle="1" w:styleId="s6b621b36">
    <w:name w:val="s6b621b36"/>
    <w:basedOn w:val="DefaultParagraphFont"/>
    <w:uiPriority w:val="99"/>
    <w:rsid w:val="000674EE"/>
    <w:rPr>
      <w:rFonts w:cs="Times New Roman"/>
    </w:rPr>
  </w:style>
  <w:style w:type="character" w:customStyle="1" w:styleId="sb8d990e2">
    <w:name w:val="sb8d990e2"/>
    <w:basedOn w:val="DefaultParagraphFont"/>
    <w:uiPriority w:val="99"/>
    <w:rsid w:val="000674EE"/>
    <w:rPr>
      <w:rFonts w:cs="Times New Roman"/>
    </w:rPr>
  </w:style>
  <w:style w:type="paragraph" w:styleId="NormalWeb">
    <w:name w:val="Normal (Web)"/>
    <w:basedOn w:val="Normal"/>
    <w:uiPriority w:val="99"/>
    <w:locked/>
    <w:rsid w:val="004407EC"/>
    <w:pPr>
      <w:suppressAutoHyphens w:val="0"/>
      <w:spacing w:before="100" w:beforeAutospacing="1" w:after="100" w:afterAutospacing="1"/>
    </w:pPr>
    <w:rPr>
      <w:lang w:val="bg-BG" w:eastAsia="bg-BG"/>
    </w:rPr>
  </w:style>
  <w:style w:type="character" w:customStyle="1" w:styleId="samedocreference">
    <w:name w:val="samedocreference"/>
    <w:basedOn w:val="DefaultParagraphFont"/>
    <w:uiPriority w:val="99"/>
    <w:rsid w:val="00626971"/>
    <w:rPr>
      <w:rFonts w:cs="Times New Roman"/>
    </w:rPr>
  </w:style>
  <w:style w:type="paragraph" w:customStyle="1" w:styleId="Style5">
    <w:name w:val="Style5"/>
    <w:basedOn w:val="Normal"/>
    <w:uiPriority w:val="99"/>
    <w:rsid w:val="00F45A5C"/>
    <w:pPr>
      <w:widowControl w:val="0"/>
      <w:suppressAutoHyphens w:val="0"/>
      <w:autoSpaceDE w:val="0"/>
      <w:autoSpaceDN w:val="0"/>
      <w:adjustRightInd w:val="0"/>
      <w:spacing w:line="202" w:lineRule="exact"/>
      <w:jc w:val="both"/>
    </w:pPr>
    <w:rPr>
      <w:lang w:val="bg-BG" w:eastAsia="bg-BG"/>
    </w:rPr>
  </w:style>
  <w:style w:type="paragraph" w:customStyle="1" w:styleId="Style15">
    <w:name w:val="Style15"/>
    <w:basedOn w:val="Normal"/>
    <w:uiPriority w:val="99"/>
    <w:rsid w:val="00F45A5C"/>
    <w:pPr>
      <w:widowControl w:val="0"/>
      <w:suppressAutoHyphens w:val="0"/>
      <w:autoSpaceDE w:val="0"/>
      <w:autoSpaceDN w:val="0"/>
      <w:adjustRightInd w:val="0"/>
      <w:spacing w:line="216" w:lineRule="exact"/>
      <w:ind w:hanging="1450"/>
    </w:pPr>
    <w:rPr>
      <w:lang w:val="bg-BG" w:eastAsia="bg-BG"/>
    </w:rPr>
  </w:style>
  <w:style w:type="character" w:customStyle="1" w:styleId="FontStyle38">
    <w:name w:val="Font Style38"/>
    <w:basedOn w:val="DefaultParagraphFont"/>
    <w:uiPriority w:val="99"/>
    <w:rsid w:val="00F45A5C"/>
    <w:rPr>
      <w:rFonts w:ascii="Times New Roman" w:hAnsi="Times New Roman" w:cs="Times New Roman"/>
      <w:b/>
      <w:bCs/>
      <w:sz w:val="18"/>
      <w:szCs w:val="18"/>
    </w:rPr>
  </w:style>
  <w:style w:type="character" w:customStyle="1" w:styleId="FontStyle42">
    <w:name w:val="Font Style42"/>
    <w:basedOn w:val="DefaultParagraphFont"/>
    <w:uiPriority w:val="99"/>
    <w:rsid w:val="00F45A5C"/>
    <w:rPr>
      <w:rFonts w:ascii="Times New Roman" w:hAnsi="Times New Roman" w:cs="Times New Roman"/>
      <w:sz w:val="18"/>
      <w:szCs w:val="18"/>
    </w:rPr>
  </w:style>
  <w:style w:type="paragraph" w:customStyle="1" w:styleId="Style12">
    <w:name w:val="Style12"/>
    <w:basedOn w:val="Normal"/>
    <w:uiPriority w:val="99"/>
    <w:rsid w:val="00560AAD"/>
    <w:pPr>
      <w:widowControl w:val="0"/>
      <w:suppressAutoHyphens w:val="0"/>
      <w:autoSpaceDE w:val="0"/>
      <w:autoSpaceDN w:val="0"/>
      <w:adjustRightInd w:val="0"/>
      <w:jc w:val="both"/>
    </w:pPr>
    <w:rPr>
      <w:lang w:val="bg-BG" w:eastAsia="bg-BG"/>
    </w:rPr>
  </w:style>
  <w:style w:type="paragraph" w:customStyle="1" w:styleId="Style17">
    <w:name w:val="Style17"/>
    <w:basedOn w:val="Normal"/>
    <w:uiPriority w:val="99"/>
    <w:rsid w:val="00560AAD"/>
    <w:pPr>
      <w:widowControl w:val="0"/>
      <w:suppressAutoHyphens w:val="0"/>
      <w:autoSpaceDE w:val="0"/>
      <w:autoSpaceDN w:val="0"/>
      <w:adjustRightInd w:val="0"/>
      <w:spacing w:line="214" w:lineRule="exact"/>
      <w:jc w:val="both"/>
    </w:pPr>
    <w:rPr>
      <w:lang w:val="bg-BG" w:eastAsia="bg-BG"/>
    </w:rPr>
  </w:style>
  <w:style w:type="character" w:customStyle="1" w:styleId="FontStyle39">
    <w:name w:val="Font Style39"/>
    <w:basedOn w:val="DefaultParagraphFont"/>
    <w:uiPriority w:val="99"/>
    <w:rsid w:val="00560AAD"/>
    <w:rPr>
      <w:rFonts w:ascii="Times New Roman" w:hAnsi="Times New Roman" w:cs="Times New Roman"/>
      <w:i/>
      <w:i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bg-BG" w:eastAsia="bg-BG"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8824B9"/>
    <w:pPr>
      <w:suppressAutoHyphens/>
    </w:pPr>
    <w:rPr>
      <w:sz w:val="24"/>
      <w:szCs w:val="24"/>
      <w:lang w:val="en-GB" w:eastAsia="fr-FR"/>
    </w:rPr>
  </w:style>
  <w:style w:type="paragraph" w:styleId="Heading1">
    <w:name w:val="heading 1"/>
    <w:basedOn w:val="Normal"/>
    <w:next w:val="Normal"/>
    <w:link w:val="Heading1Char"/>
    <w:uiPriority w:val="99"/>
    <w:qFormat/>
    <w:rsid w:val="008824B9"/>
    <w:pPr>
      <w:keepNext/>
      <w:spacing w:before="360" w:after="240"/>
      <w:jc w:val="center"/>
      <w:outlineLvl w:val="0"/>
    </w:pPr>
    <w:rPr>
      <w:b/>
      <w:bCs/>
      <w:sz w:val="28"/>
      <w:szCs w:val="28"/>
    </w:rPr>
  </w:style>
  <w:style w:type="paragraph" w:styleId="Heading2">
    <w:name w:val="heading 2"/>
    <w:basedOn w:val="Normal"/>
    <w:next w:val="Normal"/>
    <w:link w:val="Heading2Char"/>
    <w:uiPriority w:val="99"/>
    <w:qFormat/>
    <w:rsid w:val="008824B9"/>
    <w:pPr>
      <w:keepNext/>
      <w:spacing w:before="240" w:after="120"/>
      <w:ind w:left="284" w:hanging="284"/>
      <w:outlineLvl w:val="1"/>
    </w:pPr>
    <w:rPr>
      <w:b/>
      <w:bCs/>
    </w:rPr>
  </w:style>
  <w:style w:type="paragraph" w:styleId="Heading3">
    <w:name w:val="heading 3"/>
    <w:basedOn w:val="Normal"/>
    <w:next w:val="Normal"/>
    <w:link w:val="Heading3Char"/>
    <w:uiPriority w:val="99"/>
    <w:qFormat/>
    <w:rsid w:val="008824B9"/>
    <w:pPr>
      <w:keepNext/>
      <w:spacing w:before="120" w:after="60"/>
      <w:ind w:left="1418" w:hanging="851"/>
      <w:outlineLvl w:val="2"/>
    </w:pPr>
    <w:rPr>
      <w:i/>
      <w:iCs/>
    </w:rPr>
  </w:style>
  <w:style w:type="paragraph" w:styleId="Heading4">
    <w:name w:val="heading 4"/>
    <w:basedOn w:val="Normal"/>
    <w:next w:val="Normal"/>
    <w:link w:val="Heading4Char"/>
    <w:uiPriority w:val="99"/>
    <w:qFormat/>
    <w:rsid w:val="00733477"/>
    <w:pPr>
      <w:widowControl w:val="0"/>
      <w:outlineLvl w:val="3"/>
    </w:pPr>
    <w:rPr>
      <w:rFonts w:ascii="Courier" w:hAnsi="Courier" w:cs="Courier"/>
      <w:lang w:val="en-US" w:eastAsia="en-US"/>
    </w:rPr>
  </w:style>
  <w:style w:type="paragraph" w:styleId="Heading5">
    <w:name w:val="heading 5"/>
    <w:basedOn w:val="Normal"/>
    <w:next w:val="Normal"/>
    <w:link w:val="Heading5Char"/>
    <w:uiPriority w:val="99"/>
    <w:qFormat/>
    <w:rsid w:val="00733477"/>
    <w:pPr>
      <w:widowControl w:val="0"/>
      <w:outlineLvl w:val="4"/>
    </w:pPr>
    <w:rPr>
      <w:rFonts w:ascii="Courier" w:hAnsi="Courier" w:cs="Courier"/>
      <w:lang w:val="en-US" w:eastAsia="en-US"/>
    </w:rPr>
  </w:style>
  <w:style w:type="paragraph" w:styleId="Heading6">
    <w:name w:val="heading 6"/>
    <w:basedOn w:val="Normal"/>
    <w:next w:val="Normal"/>
    <w:link w:val="Heading6Char"/>
    <w:uiPriority w:val="99"/>
    <w:qFormat/>
    <w:rsid w:val="00733477"/>
    <w:pPr>
      <w:widowControl w:val="0"/>
      <w:outlineLvl w:val="5"/>
    </w:pPr>
    <w:rPr>
      <w:rFonts w:ascii="Courier" w:hAnsi="Courier" w:cs="Courier"/>
      <w:lang w:val="en-US" w:eastAsia="en-US"/>
    </w:rPr>
  </w:style>
  <w:style w:type="paragraph" w:styleId="Heading7">
    <w:name w:val="heading 7"/>
    <w:basedOn w:val="Normal"/>
    <w:next w:val="Normal"/>
    <w:link w:val="Heading7Char"/>
    <w:uiPriority w:val="99"/>
    <w:qFormat/>
    <w:rsid w:val="00733477"/>
    <w:pPr>
      <w:widowControl w:val="0"/>
      <w:outlineLvl w:val="6"/>
    </w:pPr>
    <w:rPr>
      <w:rFonts w:ascii="Courier" w:hAnsi="Courier" w:cs="Courier"/>
      <w:lang w:val="en-US" w:eastAsia="en-US"/>
    </w:rPr>
  </w:style>
  <w:style w:type="paragraph" w:styleId="Heading8">
    <w:name w:val="heading 8"/>
    <w:basedOn w:val="Normal"/>
    <w:next w:val="Normal"/>
    <w:link w:val="Heading8Char"/>
    <w:uiPriority w:val="99"/>
    <w:qFormat/>
    <w:rsid w:val="00733477"/>
    <w:pPr>
      <w:widowControl w:val="0"/>
      <w:outlineLvl w:val="7"/>
    </w:pPr>
    <w:rPr>
      <w:rFonts w:ascii="Courier" w:hAnsi="Courier" w:cs="Courier"/>
      <w:lang w:val="en-US" w:eastAsia="en-US"/>
    </w:rPr>
  </w:style>
  <w:style w:type="paragraph" w:styleId="Heading9">
    <w:name w:val="heading 9"/>
    <w:basedOn w:val="Normal"/>
    <w:next w:val="Normal"/>
    <w:link w:val="Heading9Char"/>
    <w:uiPriority w:val="99"/>
    <w:qFormat/>
    <w:rsid w:val="00733477"/>
    <w:pPr>
      <w:keepNext/>
      <w:tabs>
        <w:tab w:val="left" w:pos="-1440"/>
        <w:tab w:val="left" w:pos="-720"/>
        <w:tab w:val="left" w:pos="0"/>
        <w:tab w:val="left" w:pos="1056"/>
        <w:tab w:val="left" w:pos="1584"/>
        <w:tab w:val="left" w:pos="2112"/>
        <w:tab w:val="left" w:pos="2880"/>
      </w:tabs>
      <w:ind w:left="-306" w:right="-306"/>
      <w:jc w:val="both"/>
      <w:outlineLvl w:val="8"/>
    </w:pPr>
    <w:rPr>
      <w:i/>
      <w:iCs/>
      <w:spacing w:val="-2"/>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97E8D"/>
    <w:rPr>
      <w:rFonts w:ascii="Cambria" w:hAnsi="Cambria" w:cs="Cambria"/>
      <w:b/>
      <w:bCs/>
      <w:kern w:val="32"/>
      <w:sz w:val="32"/>
      <w:szCs w:val="32"/>
      <w:lang w:val="en-GB" w:eastAsia="fr-FR"/>
    </w:rPr>
  </w:style>
  <w:style w:type="character" w:customStyle="1" w:styleId="Heading2Char">
    <w:name w:val="Heading 2 Char"/>
    <w:basedOn w:val="DefaultParagraphFont"/>
    <w:link w:val="Heading2"/>
    <w:uiPriority w:val="99"/>
    <w:semiHidden/>
    <w:locked/>
    <w:rsid w:val="00C97E8D"/>
    <w:rPr>
      <w:rFonts w:ascii="Cambria" w:hAnsi="Cambria" w:cs="Cambria"/>
      <w:b/>
      <w:bCs/>
      <w:i/>
      <w:iCs/>
      <w:sz w:val="28"/>
      <w:szCs w:val="28"/>
      <w:lang w:val="en-GB" w:eastAsia="fr-FR"/>
    </w:rPr>
  </w:style>
  <w:style w:type="character" w:customStyle="1" w:styleId="Heading3Char">
    <w:name w:val="Heading 3 Char"/>
    <w:basedOn w:val="DefaultParagraphFont"/>
    <w:link w:val="Heading3"/>
    <w:uiPriority w:val="99"/>
    <w:semiHidden/>
    <w:locked/>
    <w:rsid w:val="00C97E8D"/>
    <w:rPr>
      <w:rFonts w:ascii="Cambria" w:hAnsi="Cambria" w:cs="Cambria"/>
      <w:b/>
      <w:bCs/>
      <w:sz w:val="26"/>
      <w:szCs w:val="26"/>
      <w:lang w:val="en-GB" w:eastAsia="fr-FR"/>
    </w:rPr>
  </w:style>
  <w:style w:type="character" w:customStyle="1" w:styleId="Heading4Char">
    <w:name w:val="Heading 4 Char"/>
    <w:basedOn w:val="DefaultParagraphFont"/>
    <w:link w:val="Heading4"/>
    <w:uiPriority w:val="99"/>
    <w:semiHidden/>
    <w:locked/>
    <w:rsid w:val="00C97E8D"/>
    <w:rPr>
      <w:rFonts w:ascii="Calibri" w:hAnsi="Calibri" w:cs="Calibri"/>
      <w:b/>
      <w:bCs/>
      <w:sz w:val="28"/>
      <w:szCs w:val="28"/>
      <w:lang w:val="en-GB" w:eastAsia="fr-FR"/>
    </w:rPr>
  </w:style>
  <w:style w:type="character" w:customStyle="1" w:styleId="Heading5Char">
    <w:name w:val="Heading 5 Char"/>
    <w:basedOn w:val="DefaultParagraphFont"/>
    <w:link w:val="Heading5"/>
    <w:uiPriority w:val="99"/>
    <w:semiHidden/>
    <w:locked/>
    <w:rsid w:val="00C97E8D"/>
    <w:rPr>
      <w:rFonts w:ascii="Calibri" w:hAnsi="Calibri" w:cs="Calibri"/>
      <w:b/>
      <w:bCs/>
      <w:i/>
      <w:iCs/>
      <w:sz w:val="26"/>
      <w:szCs w:val="26"/>
      <w:lang w:val="en-GB" w:eastAsia="fr-FR"/>
    </w:rPr>
  </w:style>
  <w:style w:type="character" w:customStyle="1" w:styleId="Heading6Char">
    <w:name w:val="Heading 6 Char"/>
    <w:basedOn w:val="DefaultParagraphFont"/>
    <w:link w:val="Heading6"/>
    <w:uiPriority w:val="99"/>
    <w:semiHidden/>
    <w:locked/>
    <w:rsid w:val="00C97E8D"/>
    <w:rPr>
      <w:rFonts w:ascii="Calibri" w:hAnsi="Calibri" w:cs="Calibri"/>
      <w:b/>
      <w:bCs/>
      <w:lang w:val="en-GB" w:eastAsia="fr-FR"/>
    </w:rPr>
  </w:style>
  <w:style w:type="character" w:customStyle="1" w:styleId="Heading7Char">
    <w:name w:val="Heading 7 Char"/>
    <w:basedOn w:val="DefaultParagraphFont"/>
    <w:link w:val="Heading7"/>
    <w:uiPriority w:val="99"/>
    <w:semiHidden/>
    <w:locked/>
    <w:rsid w:val="00C97E8D"/>
    <w:rPr>
      <w:rFonts w:ascii="Calibri" w:hAnsi="Calibri" w:cs="Calibri"/>
      <w:sz w:val="24"/>
      <w:szCs w:val="24"/>
      <w:lang w:val="en-GB" w:eastAsia="fr-FR"/>
    </w:rPr>
  </w:style>
  <w:style w:type="character" w:customStyle="1" w:styleId="Heading8Char">
    <w:name w:val="Heading 8 Char"/>
    <w:basedOn w:val="DefaultParagraphFont"/>
    <w:link w:val="Heading8"/>
    <w:uiPriority w:val="99"/>
    <w:semiHidden/>
    <w:locked/>
    <w:rsid w:val="00C97E8D"/>
    <w:rPr>
      <w:rFonts w:ascii="Calibri" w:hAnsi="Calibri" w:cs="Calibri"/>
      <w:i/>
      <w:iCs/>
      <w:sz w:val="24"/>
      <w:szCs w:val="24"/>
      <w:lang w:val="en-GB" w:eastAsia="fr-FR"/>
    </w:rPr>
  </w:style>
  <w:style w:type="character" w:customStyle="1" w:styleId="Heading9Char">
    <w:name w:val="Heading 9 Char"/>
    <w:basedOn w:val="DefaultParagraphFont"/>
    <w:link w:val="Heading9"/>
    <w:uiPriority w:val="99"/>
    <w:semiHidden/>
    <w:locked/>
    <w:rsid w:val="00C97E8D"/>
    <w:rPr>
      <w:rFonts w:ascii="Cambria" w:hAnsi="Cambria" w:cs="Cambria"/>
      <w:lang w:val="en-GB" w:eastAsia="fr-FR"/>
    </w:rPr>
  </w:style>
  <w:style w:type="paragraph" w:customStyle="1" w:styleId="OpiHA">
    <w:name w:val="Opi_H_A"/>
    <w:basedOn w:val="JuHIRoman"/>
    <w:next w:val="OpiPara"/>
    <w:uiPriority w:val="99"/>
    <w:rsid w:val="00302008"/>
    <w:pPr>
      <w:tabs>
        <w:tab w:val="clear" w:pos="357"/>
      </w:tabs>
    </w:pPr>
    <w:rPr>
      <w:b/>
      <w:bCs/>
    </w:rPr>
  </w:style>
  <w:style w:type="paragraph" w:customStyle="1" w:styleId="JuHIRoman">
    <w:name w:val="Ju_H_I_Roman"/>
    <w:basedOn w:val="JuHHead"/>
    <w:next w:val="JuPara"/>
    <w:uiPriority w:val="99"/>
    <w:rsid w:val="00D1288A"/>
    <w:pPr>
      <w:tabs>
        <w:tab w:val="left" w:pos="357"/>
      </w:tabs>
      <w:spacing w:before="360"/>
      <w:ind w:left="357" w:hanging="357"/>
      <w:outlineLvl w:val="1"/>
    </w:pPr>
    <w:rPr>
      <w:sz w:val="24"/>
      <w:szCs w:val="24"/>
    </w:rPr>
  </w:style>
  <w:style w:type="paragraph" w:customStyle="1" w:styleId="JuHHead">
    <w:name w:val="Ju_H_Head"/>
    <w:basedOn w:val="NormalTimesNewRoman"/>
    <w:next w:val="JuPara"/>
    <w:uiPriority w:val="99"/>
    <w:rsid w:val="00D1288A"/>
    <w:pPr>
      <w:keepNext/>
      <w:keepLines/>
      <w:spacing w:before="720" w:after="240"/>
      <w:jc w:val="both"/>
      <w:outlineLvl w:val="0"/>
    </w:pPr>
    <w:rPr>
      <w:sz w:val="28"/>
      <w:szCs w:val="28"/>
    </w:rPr>
  </w:style>
  <w:style w:type="character" w:customStyle="1" w:styleId="DefaultTimesNewRoman">
    <w:name w:val="Default_TimesNewRoman"/>
    <w:basedOn w:val="DefaultParagraphFont"/>
    <w:uiPriority w:val="99"/>
    <w:rsid w:val="00D1288A"/>
    <w:rPr>
      <w:rFonts w:ascii="Times New Roman" w:hAnsi="Times New Roman" w:cs="Times New Roman"/>
    </w:rPr>
  </w:style>
  <w:style w:type="paragraph" w:customStyle="1" w:styleId="JuPara">
    <w:name w:val="Ju_Para"/>
    <w:aliases w:val="Left,First line:  0 cm"/>
    <w:basedOn w:val="NormalTimesNewRoman"/>
    <w:link w:val="JuParaChar"/>
    <w:uiPriority w:val="99"/>
    <w:rsid w:val="00D1288A"/>
    <w:pPr>
      <w:ind w:firstLine="284"/>
      <w:jc w:val="both"/>
    </w:pPr>
  </w:style>
  <w:style w:type="character" w:customStyle="1" w:styleId="JuParaChar">
    <w:name w:val="Ju_Para Char"/>
    <w:basedOn w:val="DefaultParagraphFont"/>
    <w:link w:val="JuPara"/>
    <w:uiPriority w:val="99"/>
    <w:locked/>
    <w:rsid w:val="00B921A8"/>
    <w:rPr>
      <w:rFonts w:cs="Times New Roman"/>
      <w:sz w:val="24"/>
      <w:szCs w:val="24"/>
      <w:lang w:val="en-GB" w:eastAsia="fr-FR"/>
    </w:rPr>
  </w:style>
  <w:style w:type="paragraph" w:customStyle="1" w:styleId="OpiPara">
    <w:name w:val="Opi_Para"/>
    <w:basedOn w:val="JuPara"/>
    <w:uiPriority w:val="99"/>
    <w:rsid w:val="00302008"/>
  </w:style>
  <w:style w:type="paragraph" w:customStyle="1" w:styleId="OpiH1">
    <w:name w:val="Opi_H_1."/>
    <w:basedOn w:val="OpiHA"/>
    <w:next w:val="OpiPara"/>
    <w:uiPriority w:val="99"/>
    <w:rsid w:val="00302008"/>
    <w:pPr>
      <w:spacing w:before="240" w:after="120"/>
      <w:ind w:left="635"/>
      <w:outlineLvl w:val="2"/>
    </w:pPr>
    <w:rPr>
      <w:b w:val="0"/>
      <w:bCs w:val="0"/>
      <w:i/>
      <w:iCs/>
    </w:rPr>
  </w:style>
  <w:style w:type="paragraph" w:customStyle="1" w:styleId="OpiHa0">
    <w:name w:val="Opi_H_a"/>
    <w:basedOn w:val="OpiH1"/>
    <w:next w:val="OpiPara"/>
    <w:uiPriority w:val="99"/>
    <w:rsid w:val="00302008"/>
    <w:pPr>
      <w:ind w:left="833"/>
      <w:outlineLvl w:val="3"/>
    </w:pPr>
    <w:rPr>
      <w:b/>
      <w:bCs/>
      <w:i w:val="0"/>
      <w:iCs w:val="0"/>
      <w:sz w:val="20"/>
      <w:szCs w:val="20"/>
    </w:rPr>
  </w:style>
  <w:style w:type="paragraph" w:customStyle="1" w:styleId="OpiHHead">
    <w:name w:val="Opi_H_Head"/>
    <w:basedOn w:val="JuHHead"/>
    <w:next w:val="OpiPara"/>
    <w:uiPriority w:val="99"/>
    <w:rsid w:val="00302008"/>
    <w:pPr>
      <w:spacing w:before="0"/>
      <w:jc w:val="center"/>
    </w:pPr>
  </w:style>
  <w:style w:type="paragraph" w:customStyle="1" w:styleId="OpiHi">
    <w:name w:val="Opi_H_i"/>
    <w:basedOn w:val="OpiHa0"/>
    <w:next w:val="OpiPara"/>
    <w:uiPriority w:val="99"/>
    <w:rsid w:val="00302008"/>
    <w:pPr>
      <w:ind w:left="1037"/>
      <w:outlineLvl w:val="4"/>
    </w:pPr>
    <w:rPr>
      <w:b w:val="0"/>
      <w:bCs w:val="0"/>
      <w:i/>
      <w:iCs/>
    </w:rPr>
  </w:style>
  <w:style w:type="paragraph" w:styleId="Footer">
    <w:name w:val="footer"/>
    <w:basedOn w:val="NormalTimesNewRoman"/>
    <w:link w:val="FooterChar"/>
    <w:uiPriority w:val="99"/>
    <w:rsid w:val="00D1288A"/>
    <w:pPr>
      <w:tabs>
        <w:tab w:val="center" w:pos="3686"/>
        <w:tab w:val="right" w:pos="7371"/>
      </w:tabs>
    </w:pPr>
    <w:rPr>
      <w:sz w:val="18"/>
      <w:szCs w:val="18"/>
    </w:rPr>
  </w:style>
  <w:style w:type="character" w:customStyle="1" w:styleId="FooterChar">
    <w:name w:val="Footer Char"/>
    <w:basedOn w:val="DefaultParagraphFont"/>
    <w:link w:val="Footer"/>
    <w:uiPriority w:val="99"/>
    <w:locked/>
    <w:rsid w:val="004A6290"/>
    <w:rPr>
      <w:rFonts w:cs="Times New Roman"/>
      <w:sz w:val="18"/>
      <w:szCs w:val="18"/>
      <w:lang w:val="en-GB" w:eastAsia="fr-FR"/>
    </w:rPr>
  </w:style>
  <w:style w:type="paragraph" w:customStyle="1" w:styleId="JuJudges">
    <w:name w:val="Ju_Judges"/>
    <w:basedOn w:val="NormalTimesNewRoman"/>
    <w:link w:val="JuJudgesChar"/>
    <w:uiPriority w:val="99"/>
    <w:rsid w:val="00D1288A"/>
    <w:pPr>
      <w:tabs>
        <w:tab w:val="left" w:pos="567"/>
        <w:tab w:val="left" w:pos="1134"/>
      </w:tabs>
    </w:pPr>
  </w:style>
  <w:style w:type="character" w:customStyle="1" w:styleId="JuJudgesChar">
    <w:name w:val="Ju_Judges Char"/>
    <w:basedOn w:val="DefaultParagraphFont"/>
    <w:link w:val="JuJudges"/>
    <w:uiPriority w:val="99"/>
    <w:locked/>
    <w:rsid w:val="00D15473"/>
    <w:rPr>
      <w:rFonts w:cs="Times New Roman"/>
      <w:sz w:val="24"/>
      <w:szCs w:val="24"/>
      <w:lang w:val="en-GB" w:eastAsia="fr-FR"/>
    </w:rPr>
  </w:style>
  <w:style w:type="paragraph" w:customStyle="1" w:styleId="JuHA">
    <w:name w:val="Ju_H_A"/>
    <w:basedOn w:val="JuHIRoman"/>
    <w:next w:val="JuPara"/>
    <w:uiPriority w:val="99"/>
    <w:rsid w:val="00D1288A"/>
    <w:pPr>
      <w:tabs>
        <w:tab w:val="clear" w:pos="357"/>
        <w:tab w:val="left" w:pos="584"/>
      </w:tabs>
      <w:ind w:left="584" w:hanging="352"/>
      <w:outlineLvl w:val="2"/>
    </w:pPr>
    <w:rPr>
      <w:b/>
      <w:bCs/>
    </w:rPr>
  </w:style>
  <w:style w:type="paragraph" w:customStyle="1" w:styleId="JuQuot">
    <w:name w:val="Ju_Quot"/>
    <w:basedOn w:val="JuPara"/>
    <w:link w:val="JuQuotChar"/>
    <w:uiPriority w:val="99"/>
    <w:rsid w:val="00D1288A"/>
    <w:pPr>
      <w:spacing w:before="120" w:after="120"/>
      <w:ind w:left="425" w:firstLine="142"/>
    </w:pPr>
    <w:rPr>
      <w:sz w:val="20"/>
      <w:szCs w:val="20"/>
    </w:rPr>
  </w:style>
  <w:style w:type="paragraph" w:customStyle="1" w:styleId="JuSigned">
    <w:name w:val="Ju_Signed"/>
    <w:basedOn w:val="NormalTimesNewRoman"/>
    <w:next w:val="JuParaLast"/>
    <w:link w:val="JuSignedChar"/>
    <w:uiPriority w:val="99"/>
    <w:rsid w:val="00D1288A"/>
    <w:pPr>
      <w:tabs>
        <w:tab w:val="center" w:pos="851"/>
        <w:tab w:val="center" w:pos="6407"/>
      </w:tabs>
      <w:spacing w:before="720"/>
    </w:pPr>
  </w:style>
  <w:style w:type="paragraph" w:customStyle="1" w:styleId="JuParaLast">
    <w:name w:val="Ju_Para_Last"/>
    <w:basedOn w:val="JuPara"/>
    <w:next w:val="JuPara"/>
    <w:uiPriority w:val="99"/>
    <w:rsid w:val="00D1288A"/>
    <w:pPr>
      <w:keepNext/>
      <w:keepLines/>
      <w:spacing w:before="240"/>
    </w:pPr>
  </w:style>
  <w:style w:type="character" w:customStyle="1" w:styleId="JuSignedChar">
    <w:name w:val="Ju_Signed Char"/>
    <w:basedOn w:val="DefaultParagraphFont"/>
    <w:link w:val="JuSigned"/>
    <w:uiPriority w:val="99"/>
    <w:locked/>
    <w:rsid w:val="000726F6"/>
    <w:rPr>
      <w:rFonts w:cs="Times New Roman"/>
      <w:sz w:val="24"/>
      <w:szCs w:val="24"/>
      <w:lang w:val="en-GB" w:eastAsia="fr-FR"/>
    </w:rPr>
  </w:style>
  <w:style w:type="paragraph" w:customStyle="1" w:styleId="JuCase">
    <w:name w:val="Ju_Case"/>
    <w:basedOn w:val="JuPara"/>
    <w:next w:val="JuPara"/>
    <w:link w:val="JuCaseChar"/>
    <w:uiPriority w:val="99"/>
    <w:rsid w:val="00D1288A"/>
    <w:rPr>
      <w:b/>
      <w:bCs/>
    </w:rPr>
  </w:style>
  <w:style w:type="character" w:customStyle="1" w:styleId="JuCaseChar">
    <w:name w:val="Ju_Case Char"/>
    <w:basedOn w:val="JuParaChar"/>
    <w:link w:val="JuCase"/>
    <w:uiPriority w:val="99"/>
    <w:locked/>
    <w:rsid w:val="00B921A8"/>
    <w:rPr>
      <w:rFonts w:cs="Times New Roman"/>
      <w:b/>
      <w:bCs/>
      <w:sz w:val="24"/>
      <w:szCs w:val="24"/>
      <w:lang w:val="en-GB" w:eastAsia="fr-FR"/>
    </w:rPr>
  </w:style>
  <w:style w:type="paragraph" w:customStyle="1" w:styleId="JuList">
    <w:name w:val="Ju_List"/>
    <w:basedOn w:val="JuPara"/>
    <w:link w:val="JuListChar"/>
    <w:uiPriority w:val="99"/>
    <w:rsid w:val="00D1288A"/>
    <w:pPr>
      <w:ind w:left="340" w:hanging="340"/>
    </w:pPr>
  </w:style>
  <w:style w:type="character" w:customStyle="1" w:styleId="JuListChar">
    <w:name w:val="Ju_List Char"/>
    <w:basedOn w:val="DefaultParagraphFont"/>
    <w:link w:val="JuList"/>
    <w:uiPriority w:val="99"/>
    <w:locked/>
    <w:rsid w:val="00930CD7"/>
    <w:rPr>
      <w:rFonts w:cs="Times New Roman"/>
      <w:sz w:val="24"/>
      <w:szCs w:val="24"/>
      <w:lang w:val="en-GB" w:eastAsia="fr-FR"/>
    </w:rPr>
  </w:style>
  <w:style w:type="paragraph" w:customStyle="1" w:styleId="JuHArticle">
    <w:name w:val="Ju_H_Article"/>
    <w:basedOn w:val="JuHa0"/>
    <w:next w:val="JuQuot"/>
    <w:uiPriority w:val="99"/>
    <w:rsid w:val="00D1288A"/>
    <w:pPr>
      <w:ind w:left="0" w:firstLine="0"/>
      <w:jc w:val="center"/>
    </w:pPr>
  </w:style>
  <w:style w:type="paragraph" w:customStyle="1" w:styleId="JuHa0">
    <w:name w:val="Ju_H_a"/>
    <w:basedOn w:val="JuH1"/>
    <w:next w:val="JuPara"/>
    <w:uiPriority w:val="99"/>
    <w:rsid w:val="00D1288A"/>
    <w:pPr>
      <w:tabs>
        <w:tab w:val="clear" w:pos="731"/>
        <w:tab w:val="left" w:pos="975"/>
      </w:tabs>
      <w:ind w:left="975" w:hanging="340"/>
      <w:outlineLvl w:val="4"/>
    </w:pPr>
    <w:rPr>
      <w:b/>
      <w:bCs/>
      <w:i w:val="0"/>
      <w:iCs w:val="0"/>
      <w:sz w:val="20"/>
      <w:szCs w:val="20"/>
    </w:rPr>
  </w:style>
  <w:style w:type="paragraph" w:customStyle="1" w:styleId="JuH1">
    <w:name w:val="Ju_H_1."/>
    <w:basedOn w:val="JuHA"/>
    <w:next w:val="JuPara"/>
    <w:uiPriority w:val="99"/>
    <w:rsid w:val="00D1288A"/>
    <w:pPr>
      <w:tabs>
        <w:tab w:val="clear" w:pos="584"/>
        <w:tab w:val="left" w:pos="731"/>
      </w:tabs>
      <w:spacing w:before="240" w:after="120"/>
      <w:ind w:left="732" w:hanging="301"/>
      <w:outlineLvl w:val="3"/>
    </w:pPr>
    <w:rPr>
      <w:b w:val="0"/>
      <w:bCs w:val="0"/>
      <w:i/>
      <w:iCs/>
    </w:rPr>
  </w:style>
  <w:style w:type="paragraph" w:customStyle="1" w:styleId="JuQuotList">
    <w:name w:val="Ju_Quot_List"/>
    <w:basedOn w:val="JuQuot"/>
    <w:uiPriority w:val="99"/>
    <w:rsid w:val="00733477"/>
    <w:pPr>
      <w:tabs>
        <w:tab w:val="left" w:pos="1021"/>
      </w:tabs>
      <w:ind w:left="567" w:firstLine="0"/>
    </w:pPr>
  </w:style>
  <w:style w:type="paragraph" w:customStyle="1" w:styleId="JuCourt">
    <w:name w:val="Ju_Court"/>
    <w:basedOn w:val="JuJudges"/>
    <w:uiPriority w:val="99"/>
    <w:rsid w:val="00D1288A"/>
    <w:pPr>
      <w:tabs>
        <w:tab w:val="clear" w:pos="567"/>
        <w:tab w:val="clear" w:pos="1134"/>
        <w:tab w:val="left" w:pos="907"/>
        <w:tab w:val="left" w:pos="1701"/>
        <w:tab w:val="right" w:pos="7371"/>
      </w:tabs>
      <w:spacing w:before="240"/>
      <w:ind w:left="397" w:hanging="397"/>
    </w:pPr>
  </w:style>
  <w:style w:type="paragraph" w:customStyle="1" w:styleId="OpiQuot">
    <w:name w:val="Opi_Quot"/>
    <w:basedOn w:val="JuQuot"/>
    <w:uiPriority w:val="99"/>
    <w:rsid w:val="00302008"/>
  </w:style>
  <w:style w:type="paragraph" w:customStyle="1" w:styleId="OpiTranslation">
    <w:name w:val="Opi_Translation"/>
    <w:basedOn w:val="OpiHHead"/>
    <w:next w:val="OpiPara"/>
    <w:uiPriority w:val="99"/>
    <w:rsid w:val="00302008"/>
    <w:rPr>
      <w:i/>
      <w:iCs/>
      <w:sz w:val="24"/>
      <w:szCs w:val="24"/>
    </w:rPr>
  </w:style>
  <w:style w:type="paragraph" w:styleId="FootnoteText">
    <w:name w:val="footnote text"/>
    <w:basedOn w:val="Normal"/>
    <w:link w:val="FootnoteTextChar"/>
    <w:uiPriority w:val="99"/>
    <w:semiHidden/>
    <w:rsid w:val="00D1288A"/>
    <w:pPr>
      <w:jc w:val="both"/>
    </w:pPr>
    <w:rPr>
      <w:sz w:val="20"/>
      <w:szCs w:val="20"/>
    </w:rPr>
  </w:style>
  <w:style w:type="character" w:customStyle="1" w:styleId="FootnoteTextChar">
    <w:name w:val="Footnote Text Char"/>
    <w:basedOn w:val="DefaultParagraphFont"/>
    <w:link w:val="FootnoteText"/>
    <w:uiPriority w:val="99"/>
    <w:semiHidden/>
    <w:locked/>
    <w:rsid w:val="00C97E8D"/>
    <w:rPr>
      <w:rFonts w:cs="Times New Roman"/>
      <w:sz w:val="20"/>
      <w:szCs w:val="20"/>
      <w:lang w:val="en-GB" w:eastAsia="fr-FR"/>
    </w:rPr>
  </w:style>
  <w:style w:type="character" w:styleId="FootnoteReference">
    <w:name w:val="footnote reference"/>
    <w:basedOn w:val="DefaultParagraphFont"/>
    <w:uiPriority w:val="99"/>
    <w:semiHidden/>
    <w:rsid w:val="00D1288A"/>
    <w:rPr>
      <w:rFonts w:cs="Times New Roman"/>
      <w:vertAlign w:val="superscript"/>
    </w:rPr>
  </w:style>
  <w:style w:type="paragraph" w:customStyle="1" w:styleId="JuHi">
    <w:name w:val="Ju_H_i"/>
    <w:basedOn w:val="JuHa0"/>
    <w:next w:val="JuPara"/>
    <w:uiPriority w:val="99"/>
    <w:rsid w:val="00D1288A"/>
    <w:pPr>
      <w:tabs>
        <w:tab w:val="clear" w:pos="975"/>
        <w:tab w:val="left" w:pos="1191"/>
      </w:tabs>
      <w:ind w:left="1190" w:hanging="357"/>
      <w:outlineLvl w:val="5"/>
    </w:pPr>
    <w:rPr>
      <w:b w:val="0"/>
      <w:bCs w:val="0"/>
      <w:i/>
      <w:iCs/>
    </w:rPr>
  </w:style>
  <w:style w:type="paragraph" w:styleId="Header">
    <w:name w:val="header"/>
    <w:basedOn w:val="NormalTimesNewRoman"/>
    <w:link w:val="HeaderChar"/>
    <w:uiPriority w:val="99"/>
    <w:rsid w:val="00D1288A"/>
    <w:pPr>
      <w:tabs>
        <w:tab w:val="center" w:pos="3686"/>
        <w:tab w:val="right" w:pos="7371"/>
      </w:tabs>
    </w:pPr>
    <w:rPr>
      <w:sz w:val="18"/>
      <w:szCs w:val="18"/>
    </w:rPr>
  </w:style>
  <w:style w:type="character" w:customStyle="1" w:styleId="HeaderChar">
    <w:name w:val="Header Char"/>
    <w:basedOn w:val="DefaultParagraphFont"/>
    <w:link w:val="Header"/>
    <w:uiPriority w:val="99"/>
    <w:semiHidden/>
    <w:locked/>
    <w:rsid w:val="00C97E8D"/>
    <w:rPr>
      <w:rFonts w:cs="Times New Roman"/>
      <w:sz w:val="20"/>
      <w:szCs w:val="20"/>
      <w:lang w:val="en-GB" w:eastAsia="fr-FR"/>
    </w:rPr>
  </w:style>
  <w:style w:type="character" w:styleId="PageNumber">
    <w:name w:val="page number"/>
    <w:basedOn w:val="DefaultParagraphFont"/>
    <w:uiPriority w:val="99"/>
    <w:rsid w:val="00D1288A"/>
    <w:rPr>
      <w:rFonts w:cs="Times New Roman"/>
      <w:sz w:val="18"/>
      <w:szCs w:val="18"/>
    </w:rPr>
  </w:style>
  <w:style w:type="paragraph" w:customStyle="1" w:styleId="JuH">
    <w:name w:val="Ju_H_–"/>
    <w:basedOn w:val="JuHalpha"/>
    <w:next w:val="JuPara"/>
    <w:uiPriority w:val="99"/>
    <w:rsid w:val="00D1288A"/>
    <w:pPr>
      <w:tabs>
        <w:tab w:val="clear" w:pos="1372"/>
      </w:tabs>
      <w:ind w:left="1236" w:firstLine="0"/>
    </w:pPr>
    <w:rPr>
      <w:i/>
      <w:iCs/>
    </w:rPr>
  </w:style>
  <w:style w:type="paragraph" w:customStyle="1" w:styleId="JuHalpha">
    <w:name w:val="Ju_H_alpha"/>
    <w:basedOn w:val="JuHi"/>
    <w:next w:val="JuPara"/>
    <w:uiPriority w:val="99"/>
    <w:rsid w:val="00D1288A"/>
    <w:pPr>
      <w:tabs>
        <w:tab w:val="clear" w:pos="1191"/>
        <w:tab w:val="left" w:pos="1372"/>
      </w:tabs>
      <w:ind w:left="1373" w:hanging="335"/>
    </w:pPr>
    <w:rPr>
      <w:i w:val="0"/>
      <w:iCs w:val="0"/>
    </w:rPr>
  </w:style>
  <w:style w:type="paragraph" w:customStyle="1" w:styleId="JuLista">
    <w:name w:val="Ju_List_a"/>
    <w:basedOn w:val="JuList"/>
    <w:uiPriority w:val="99"/>
    <w:rsid w:val="00D1288A"/>
    <w:pPr>
      <w:ind w:left="346" w:firstLine="0"/>
    </w:pPr>
  </w:style>
  <w:style w:type="paragraph" w:customStyle="1" w:styleId="JuListi">
    <w:name w:val="Ju_List_i"/>
    <w:basedOn w:val="JuLista"/>
    <w:uiPriority w:val="99"/>
    <w:rsid w:val="00D1288A"/>
    <w:pPr>
      <w:ind w:left="794"/>
    </w:pPr>
  </w:style>
  <w:style w:type="character" w:styleId="CommentReference">
    <w:name w:val="annotation reference"/>
    <w:basedOn w:val="DefaultParagraphFont"/>
    <w:uiPriority w:val="99"/>
    <w:semiHidden/>
    <w:rsid w:val="00733477"/>
    <w:rPr>
      <w:rFonts w:cs="Times New Roman"/>
      <w:sz w:val="16"/>
      <w:szCs w:val="16"/>
    </w:rPr>
  </w:style>
  <w:style w:type="paragraph" w:styleId="CommentText">
    <w:name w:val="annotation text"/>
    <w:basedOn w:val="Normal"/>
    <w:link w:val="CommentTextChar"/>
    <w:uiPriority w:val="99"/>
    <w:semiHidden/>
    <w:rsid w:val="00733477"/>
    <w:rPr>
      <w:sz w:val="20"/>
      <w:szCs w:val="20"/>
    </w:rPr>
  </w:style>
  <w:style w:type="character" w:customStyle="1" w:styleId="CommentTextChar">
    <w:name w:val="Comment Text Char"/>
    <w:basedOn w:val="DefaultParagraphFont"/>
    <w:link w:val="CommentText"/>
    <w:uiPriority w:val="99"/>
    <w:semiHidden/>
    <w:locked/>
    <w:rsid w:val="00C97E8D"/>
    <w:rPr>
      <w:rFonts w:cs="Times New Roman"/>
      <w:sz w:val="20"/>
      <w:szCs w:val="20"/>
      <w:lang w:val="en-GB" w:eastAsia="fr-FR"/>
    </w:rPr>
  </w:style>
  <w:style w:type="paragraph" w:customStyle="1" w:styleId="JuInitialled">
    <w:name w:val="Ju_Initialled"/>
    <w:basedOn w:val="JuSigned"/>
    <w:uiPriority w:val="99"/>
    <w:rsid w:val="00D1288A"/>
    <w:pPr>
      <w:tabs>
        <w:tab w:val="clear" w:pos="851"/>
      </w:tabs>
      <w:jc w:val="right"/>
    </w:pPr>
  </w:style>
  <w:style w:type="paragraph" w:customStyle="1" w:styleId="JuHeader">
    <w:name w:val="Ju_Header"/>
    <w:basedOn w:val="Header"/>
    <w:uiPriority w:val="99"/>
    <w:rsid w:val="00D1288A"/>
  </w:style>
  <w:style w:type="paragraph" w:customStyle="1" w:styleId="DecHTitle">
    <w:name w:val="Dec_H_Title"/>
    <w:basedOn w:val="Normal"/>
    <w:uiPriority w:val="99"/>
    <w:rsid w:val="0037228D"/>
    <w:pPr>
      <w:spacing w:after="240"/>
      <w:jc w:val="center"/>
      <w:outlineLvl w:val="0"/>
    </w:pPr>
    <w:rPr>
      <w:sz w:val="28"/>
      <w:szCs w:val="28"/>
    </w:rPr>
  </w:style>
  <w:style w:type="paragraph" w:customStyle="1" w:styleId="DecHCase">
    <w:name w:val="Dec_H_Case"/>
    <w:basedOn w:val="DecHTitle"/>
    <w:next w:val="JuPara"/>
    <w:uiPriority w:val="99"/>
    <w:rsid w:val="00302008"/>
    <w:rPr>
      <w:sz w:val="24"/>
      <w:szCs w:val="24"/>
    </w:rPr>
  </w:style>
  <w:style w:type="paragraph" w:customStyle="1" w:styleId="DecList">
    <w:name w:val="Dec_List"/>
    <w:basedOn w:val="Normal"/>
    <w:uiPriority w:val="99"/>
    <w:rsid w:val="0037228D"/>
    <w:pPr>
      <w:spacing w:before="240"/>
      <w:ind w:left="284"/>
      <w:jc w:val="both"/>
    </w:pPr>
  </w:style>
  <w:style w:type="paragraph" w:customStyle="1" w:styleId="JuParaSub">
    <w:name w:val="Ju_Para_Sub"/>
    <w:basedOn w:val="JuPara"/>
    <w:uiPriority w:val="99"/>
    <w:rsid w:val="00D1288A"/>
    <w:pPr>
      <w:ind w:left="284"/>
    </w:pPr>
  </w:style>
  <w:style w:type="paragraph" w:customStyle="1" w:styleId="JuQuotSub">
    <w:name w:val="Ju_Quot_Sub"/>
    <w:basedOn w:val="JuQuot"/>
    <w:uiPriority w:val="99"/>
    <w:rsid w:val="00D1288A"/>
    <w:pPr>
      <w:ind w:left="567"/>
    </w:pPr>
  </w:style>
  <w:style w:type="paragraph" w:styleId="BalloonText">
    <w:name w:val="Balloon Text"/>
    <w:basedOn w:val="Normal"/>
    <w:link w:val="BalloonTextChar"/>
    <w:uiPriority w:val="99"/>
    <w:semiHidden/>
    <w:rsid w:val="00457A1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97E8D"/>
    <w:rPr>
      <w:rFonts w:cs="Times New Roman"/>
      <w:sz w:val="2"/>
      <w:szCs w:val="2"/>
      <w:lang w:val="en-GB" w:eastAsia="fr-FR"/>
    </w:rPr>
  </w:style>
  <w:style w:type="paragraph" w:styleId="CommentSubject">
    <w:name w:val="annotation subject"/>
    <w:basedOn w:val="CommentText"/>
    <w:next w:val="CommentText"/>
    <w:link w:val="CommentSubjectChar"/>
    <w:uiPriority w:val="99"/>
    <w:semiHidden/>
    <w:rsid w:val="00D353F4"/>
    <w:rPr>
      <w:b/>
      <w:bCs/>
    </w:rPr>
  </w:style>
  <w:style w:type="character" w:customStyle="1" w:styleId="CommentSubjectChar">
    <w:name w:val="Comment Subject Char"/>
    <w:basedOn w:val="CommentTextChar"/>
    <w:link w:val="CommentSubject"/>
    <w:uiPriority w:val="99"/>
    <w:semiHidden/>
    <w:locked/>
    <w:rsid w:val="00C97E8D"/>
    <w:rPr>
      <w:rFonts w:cs="Times New Roman"/>
      <w:b/>
      <w:bCs/>
      <w:sz w:val="20"/>
      <w:szCs w:val="20"/>
      <w:lang w:val="en-GB" w:eastAsia="fr-FR"/>
    </w:rPr>
  </w:style>
  <w:style w:type="character" w:styleId="EndnoteReference">
    <w:name w:val="endnote reference"/>
    <w:basedOn w:val="DefaultParagraphFont"/>
    <w:uiPriority w:val="99"/>
    <w:semiHidden/>
    <w:rsid w:val="00D1288A"/>
    <w:rPr>
      <w:rFonts w:cs="Times New Roman"/>
      <w:vertAlign w:val="superscript"/>
    </w:rPr>
  </w:style>
  <w:style w:type="paragraph" w:styleId="EndnoteText">
    <w:name w:val="endnote text"/>
    <w:basedOn w:val="Normal"/>
    <w:link w:val="EndnoteTextChar"/>
    <w:uiPriority w:val="99"/>
    <w:semiHidden/>
    <w:rsid w:val="00D1288A"/>
    <w:rPr>
      <w:sz w:val="20"/>
      <w:szCs w:val="20"/>
    </w:rPr>
  </w:style>
  <w:style w:type="character" w:customStyle="1" w:styleId="EndnoteTextChar">
    <w:name w:val="Endnote Text Char"/>
    <w:basedOn w:val="DefaultParagraphFont"/>
    <w:link w:val="EndnoteText"/>
    <w:uiPriority w:val="99"/>
    <w:semiHidden/>
    <w:locked/>
    <w:rsid w:val="00C97E8D"/>
    <w:rPr>
      <w:rFonts w:cs="Times New Roman"/>
      <w:sz w:val="20"/>
      <w:szCs w:val="20"/>
      <w:lang w:val="en-GB" w:eastAsia="fr-FR"/>
    </w:rPr>
  </w:style>
  <w:style w:type="character" w:styleId="FollowedHyperlink">
    <w:name w:val="FollowedHyperlink"/>
    <w:basedOn w:val="DefaultParagraphFont"/>
    <w:uiPriority w:val="99"/>
    <w:rsid w:val="00D1288A"/>
    <w:rPr>
      <w:rFonts w:cs="Times New Roman"/>
      <w:color w:val="800080"/>
      <w:u w:val="single"/>
    </w:rPr>
  </w:style>
  <w:style w:type="paragraph" w:customStyle="1" w:styleId="SuCoverTitle1">
    <w:name w:val="Su_Cover_Title1"/>
    <w:basedOn w:val="Normal"/>
    <w:next w:val="SuCoverTitle2"/>
    <w:uiPriority w:val="99"/>
    <w:rsid w:val="0037228D"/>
    <w:pPr>
      <w:spacing w:before="2500"/>
      <w:jc w:val="center"/>
    </w:pPr>
    <w:rPr>
      <w:sz w:val="22"/>
      <w:szCs w:val="22"/>
    </w:rPr>
  </w:style>
  <w:style w:type="paragraph" w:customStyle="1" w:styleId="SuCoverTitle2">
    <w:name w:val="Su_Cover_Title2"/>
    <w:basedOn w:val="SuCoverTitle1"/>
    <w:next w:val="Normal"/>
    <w:uiPriority w:val="99"/>
    <w:rsid w:val="00864209"/>
    <w:pPr>
      <w:spacing w:before="240"/>
    </w:pPr>
    <w:rPr>
      <w:sz w:val="18"/>
      <w:szCs w:val="18"/>
    </w:rPr>
  </w:style>
  <w:style w:type="paragraph" w:customStyle="1" w:styleId="SuPara">
    <w:name w:val="Su_Para"/>
    <w:basedOn w:val="SuKeywords"/>
    <w:uiPriority w:val="99"/>
    <w:rsid w:val="00864209"/>
    <w:pPr>
      <w:spacing w:before="0" w:after="0"/>
    </w:pPr>
    <w:rPr>
      <w:i w:val="0"/>
      <w:iCs w:val="0"/>
    </w:rPr>
  </w:style>
  <w:style w:type="paragraph" w:customStyle="1" w:styleId="SuKeywords">
    <w:name w:val="Su_Keywords"/>
    <w:basedOn w:val="SuHHead"/>
    <w:uiPriority w:val="99"/>
    <w:rsid w:val="00864209"/>
    <w:pPr>
      <w:spacing w:before="120"/>
    </w:pPr>
    <w:rPr>
      <w:b w:val="0"/>
      <w:bCs w:val="0"/>
      <w:i/>
      <w:iCs/>
    </w:rPr>
  </w:style>
  <w:style w:type="paragraph" w:customStyle="1" w:styleId="SuHHead">
    <w:name w:val="Su_H_Head"/>
    <w:basedOn w:val="SuSubject"/>
    <w:uiPriority w:val="99"/>
    <w:rsid w:val="00864209"/>
    <w:pPr>
      <w:spacing w:after="120"/>
    </w:pPr>
  </w:style>
  <w:style w:type="paragraph" w:customStyle="1" w:styleId="SuSubject">
    <w:name w:val="Su_Subject"/>
    <w:basedOn w:val="SuSummary"/>
    <w:uiPriority w:val="99"/>
    <w:rsid w:val="00864209"/>
    <w:pPr>
      <w:suppressAutoHyphens w:val="0"/>
      <w:spacing w:before="360"/>
      <w:jc w:val="both"/>
    </w:pPr>
    <w:rPr>
      <w:b/>
      <w:bCs/>
      <w:sz w:val="22"/>
      <w:szCs w:val="22"/>
    </w:rPr>
  </w:style>
  <w:style w:type="paragraph" w:customStyle="1" w:styleId="SuSummary">
    <w:name w:val="Su_Summary"/>
    <w:basedOn w:val="Normal"/>
    <w:next w:val="SuSubject"/>
    <w:uiPriority w:val="99"/>
    <w:rsid w:val="0037228D"/>
    <w:pPr>
      <w:spacing w:after="240"/>
      <w:jc w:val="center"/>
    </w:pPr>
  </w:style>
  <w:style w:type="paragraph" w:customStyle="1" w:styleId="OpiParaSub">
    <w:name w:val="Opi_Para_Sub"/>
    <w:basedOn w:val="JuParaSub"/>
    <w:uiPriority w:val="99"/>
    <w:rsid w:val="00302008"/>
  </w:style>
  <w:style w:type="paragraph" w:customStyle="1" w:styleId="OpiQuotSub">
    <w:name w:val="Opi_Quot_Sub"/>
    <w:basedOn w:val="JuQuotSub"/>
    <w:uiPriority w:val="99"/>
    <w:rsid w:val="00302008"/>
  </w:style>
  <w:style w:type="character" w:styleId="Hyperlink">
    <w:name w:val="Hyperlink"/>
    <w:basedOn w:val="DefaultParagraphFont"/>
    <w:uiPriority w:val="99"/>
    <w:rsid w:val="00D1288A"/>
    <w:rPr>
      <w:rFonts w:cs="Times New Roman"/>
      <w:color w:val="0000FF"/>
      <w:u w:val="single"/>
    </w:rPr>
  </w:style>
  <w:style w:type="character" w:styleId="Strong">
    <w:name w:val="Strong"/>
    <w:basedOn w:val="DefaultParagraphFont"/>
    <w:uiPriority w:val="99"/>
    <w:qFormat/>
    <w:rsid w:val="00AA7CA2"/>
    <w:rPr>
      <w:rFonts w:cs="Times New Roman"/>
      <w:b/>
      <w:bCs/>
    </w:rPr>
  </w:style>
  <w:style w:type="paragraph" w:styleId="DocumentMap">
    <w:name w:val="Document Map"/>
    <w:basedOn w:val="Normal"/>
    <w:link w:val="DocumentMapChar"/>
    <w:uiPriority w:val="99"/>
    <w:semiHidden/>
    <w:rsid w:val="008824B9"/>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C97E8D"/>
    <w:rPr>
      <w:rFonts w:cs="Times New Roman"/>
      <w:sz w:val="2"/>
      <w:szCs w:val="2"/>
      <w:lang w:val="en-GB" w:eastAsia="fr-FR"/>
    </w:rPr>
  </w:style>
  <w:style w:type="character" w:customStyle="1" w:styleId="JuNames">
    <w:name w:val="Ju_Names"/>
    <w:basedOn w:val="DefaultParagraphFont"/>
    <w:uiPriority w:val="99"/>
    <w:rsid w:val="00D1288A"/>
    <w:rPr>
      <w:rFonts w:cs="Times New Roman"/>
      <w:smallCaps/>
    </w:rPr>
  </w:style>
  <w:style w:type="paragraph" w:customStyle="1" w:styleId="NormalJustified">
    <w:name w:val="Normal_Justified"/>
    <w:basedOn w:val="Normal"/>
    <w:uiPriority w:val="99"/>
    <w:rsid w:val="008824B9"/>
    <w:pPr>
      <w:jc w:val="both"/>
    </w:pPr>
  </w:style>
  <w:style w:type="paragraph" w:customStyle="1" w:styleId="JuAppQuestion">
    <w:name w:val="Ju_App_Question"/>
    <w:basedOn w:val="ListBullet"/>
    <w:uiPriority w:val="99"/>
    <w:rsid w:val="00D1288A"/>
    <w:pPr>
      <w:numPr>
        <w:numId w:val="0"/>
      </w:numPr>
      <w:tabs>
        <w:tab w:val="num" w:pos="720"/>
      </w:tabs>
      <w:suppressAutoHyphens w:val="0"/>
      <w:ind w:left="720" w:hanging="360"/>
    </w:pPr>
    <w:rPr>
      <w:b/>
      <w:bCs/>
      <w:color w:val="333333"/>
    </w:rPr>
  </w:style>
  <w:style w:type="paragraph" w:styleId="ListBullet">
    <w:name w:val="List Bullet"/>
    <w:basedOn w:val="Normal"/>
    <w:uiPriority w:val="99"/>
    <w:rsid w:val="008824B9"/>
    <w:pPr>
      <w:numPr>
        <w:numId w:val="18"/>
      </w:numPr>
    </w:pPr>
  </w:style>
  <w:style w:type="paragraph" w:customStyle="1" w:styleId="NormalTimesNewRoman">
    <w:name w:val="Normal_TimesNewRoman"/>
    <w:uiPriority w:val="99"/>
    <w:rsid w:val="00D1288A"/>
    <w:rPr>
      <w:sz w:val="24"/>
      <w:szCs w:val="24"/>
      <w:lang w:val="en-GB" w:eastAsia="fr-FR"/>
    </w:rPr>
  </w:style>
  <w:style w:type="character" w:customStyle="1" w:styleId="JuITMark">
    <w:name w:val="Ju_ITMark"/>
    <w:basedOn w:val="DefaultTimesNewRoman"/>
    <w:uiPriority w:val="99"/>
    <w:rsid w:val="00D1288A"/>
    <w:rPr>
      <w:rFonts w:ascii="Times New Roman" w:hAnsi="Times New Roman" w:cs="Times New Roman"/>
      <w:vanish/>
      <w:color w:val="auto"/>
      <w:sz w:val="16"/>
      <w:szCs w:val="16"/>
      <w:lang w:val="fi-FI"/>
    </w:rPr>
  </w:style>
  <w:style w:type="paragraph" w:customStyle="1" w:styleId="JuTitle">
    <w:name w:val="Ju_Title"/>
    <w:basedOn w:val="JuHHead"/>
    <w:next w:val="JuPara"/>
    <w:uiPriority w:val="99"/>
    <w:rsid w:val="00D1288A"/>
    <w:pPr>
      <w:jc w:val="center"/>
    </w:pPr>
    <w:rPr>
      <w:b/>
      <w:bCs/>
      <w:caps/>
      <w:sz w:val="24"/>
      <w:szCs w:val="24"/>
      <w:u w:val="single"/>
    </w:rPr>
  </w:style>
  <w:style w:type="character" w:customStyle="1" w:styleId="JuParaCar">
    <w:name w:val="Ju_Para Car"/>
    <w:basedOn w:val="DefaultParagraphFont"/>
    <w:uiPriority w:val="99"/>
    <w:rsid w:val="004E5D00"/>
    <w:rPr>
      <w:rFonts w:cs="Times New Roman"/>
      <w:sz w:val="24"/>
      <w:szCs w:val="24"/>
      <w:lang w:val="en-GB" w:eastAsia="fr-FR"/>
    </w:rPr>
  </w:style>
  <w:style w:type="character" w:customStyle="1" w:styleId="JuQuotChar">
    <w:name w:val="Ju_Quot Char"/>
    <w:basedOn w:val="JuParaChar"/>
    <w:link w:val="JuQuot"/>
    <w:uiPriority w:val="99"/>
    <w:locked/>
    <w:rsid w:val="00124EA6"/>
    <w:rPr>
      <w:rFonts w:cs="Times New Roman"/>
      <w:sz w:val="24"/>
      <w:szCs w:val="24"/>
      <w:lang w:val="en-GB" w:eastAsia="fr-FR"/>
    </w:rPr>
  </w:style>
  <w:style w:type="character" w:customStyle="1" w:styleId="ju-005fpara-002cleft-002cfirst-0020line-003a-0020-00200-0020cm--char">
    <w:name w:val="ju-005fpara-002cleft-002cfirst-0020line-003a-0020-00200-0020cm--char"/>
    <w:basedOn w:val="DefaultParagraphFont"/>
    <w:uiPriority w:val="99"/>
    <w:rsid w:val="00FD78F2"/>
    <w:rPr>
      <w:rFonts w:cs="Times New Roman"/>
    </w:rPr>
  </w:style>
  <w:style w:type="character" w:customStyle="1" w:styleId="JuParaChar1">
    <w:name w:val="Ju_Para Char1"/>
    <w:basedOn w:val="DefaultParagraphFont"/>
    <w:uiPriority w:val="99"/>
    <w:rsid w:val="00663803"/>
    <w:rPr>
      <w:rFonts w:cs="Times New Roman"/>
      <w:sz w:val="24"/>
      <w:szCs w:val="24"/>
      <w:lang w:val="en-GB" w:eastAsia="ar-SA" w:bidi="ar-SA"/>
    </w:rPr>
  </w:style>
  <w:style w:type="character" w:customStyle="1" w:styleId="s6b621b36">
    <w:name w:val="s6b621b36"/>
    <w:basedOn w:val="DefaultParagraphFont"/>
    <w:uiPriority w:val="99"/>
    <w:rsid w:val="000674EE"/>
    <w:rPr>
      <w:rFonts w:cs="Times New Roman"/>
    </w:rPr>
  </w:style>
  <w:style w:type="character" w:customStyle="1" w:styleId="sb8d990e2">
    <w:name w:val="sb8d990e2"/>
    <w:basedOn w:val="DefaultParagraphFont"/>
    <w:uiPriority w:val="99"/>
    <w:rsid w:val="000674EE"/>
    <w:rPr>
      <w:rFonts w:cs="Times New Roman"/>
    </w:rPr>
  </w:style>
  <w:style w:type="paragraph" w:styleId="NormalWeb">
    <w:name w:val="Normal (Web)"/>
    <w:basedOn w:val="Normal"/>
    <w:uiPriority w:val="99"/>
    <w:locked/>
    <w:rsid w:val="004407EC"/>
    <w:pPr>
      <w:suppressAutoHyphens w:val="0"/>
      <w:spacing w:before="100" w:beforeAutospacing="1" w:after="100" w:afterAutospacing="1"/>
    </w:pPr>
    <w:rPr>
      <w:lang w:val="bg-BG" w:eastAsia="bg-BG"/>
    </w:rPr>
  </w:style>
  <w:style w:type="character" w:customStyle="1" w:styleId="samedocreference">
    <w:name w:val="samedocreference"/>
    <w:basedOn w:val="DefaultParagraphFont"/>
    <w:uiPriority w:val="99"/>
    <w:rsid w:val="00626971"/>
    <w:rPr>
      <w:rFonts w:cs="Times New Roman"/>
    </w:rPr>
  </w:style>
  <w:style w:type="paragraph" w:customStyle="1" w:styleId="Style5">
    <w:name w:val="Style5"/>
    <w:basedOn w:val="Normal"/>
    <w:uiPriority w:val="99"/>
    <w:rsid w:val="00F45A5C"/>
    <w:pPr>
      <w:widowControl w:val="0"/>
      <w:suppressAutoHyphens w:val="0"/>
      <w:autoSpaceDE w:val="0"/>
      <w:autoSpaceDN w:val="0"/>
      <w:adjustRightInd w:val="0"/>
      <w:spacing w:line="202" w:lineRule="exact"/>
      <w:jc w:val="both"/>
    </w:pPr>
    <w:rPr>
      <w:lang w:val="bg-BG" w:eastAsia="bg-BG"/>
    </w:rPr>
  </w:style>
  <w:style w:type="paragraph" w:customStyle="1" w:styleId="Style15">
    <w:name w:val="Style15"/>
    <w:basedOn w:val="Normal"/>
    <w:uiPriority w:val="99"/>
    <w:rsid w:val="00F45A5C"/>
    <w:pPr>
      <w:widowControl w:val="0"/>
      <w:suppressAutoHyphens w:val="0"/>
      <w:autoSpaceDE w:val="0"/>
      <w:autoSpaceDN w:val="0"/>
      <w:adjustRightInd w:val="0"/>
      <w:spacing w:line="216" w:lineRule="exact"/>
      <w:ind w:hanging="1450"/>
    </w:pPr>
    <w:rPr>
      <w:lang w:val="bg-BG" w:eastAsia="bg-BG"/>
    </w:rPr>
  </w:style>
  <w:style w:type="character" w:customStyle="1" w:styleId="FontStyle38">
    <w:name w:val="Font Style38"/>
    <w:basedOn w:val="DefaultParagraphFont"/>
    <w:uiPriority w:val="99"/>
    <w:rsid w:val="00F45A5C"/>
    <w:rPr>
      <w:rFonts w:ascii="Times New Roman" w:hAnsi="Times New Roman" w:cs="Times New Roman"/>
      <w:b/>
      <w:bCs/>
      <w:sz w:val="18"/>
      <w:szCs w:val="18"/>
    </w:rPr>
  </w:style>
  <w:style w:type="character" w:customStyle="1" w:styleId="FontStyle42">
    <w:name w:val="Font Style42"/>
    <w:basedOn w:val="DefaultParagraphFont"/>
    <w:uiPriority w:val="99"/>
    <w:rsid w:val="00F45A5C"/>
    <w:rPr>
      <w:rFonts w:ascii="Times New Roman" w:hAnsi="Times New Roman" w:cs="Times New Roman"/>
      <w:sz w:val="18"/>
      <w:szCs w:val="18"/>
    </w:rPr>
  </w:style>
  <w:style w:type="paragraph" w:customStyle="1" w:styleId="Style12">
    <w:name w:val="Style12"/>
    <w:basedOn w:val="Normal"/>
    <w:uiPriority w:val="99"/>
    <w:rsid w:val="00560AAD"/>
    <w:pPr>
      <w:widowControl w:val="0"/>
      <w:suppressAutoHyphens w:val="0"/>
      <w:autoSpaceDE w:val="0"/>
      <w:autoSpaceDN w:val="0"/>
      <w:adjustRightInd w:val="0"/>
      <w:jc w:val="both"/>
    </w:pPr>
    <w:rPr>
      <w:lang w:val="bg-BG" w:eastAsia="bg-BG"/>
    </w:rPr>
  </w:style>
  <w:style w:type="paragraph" w:customStyle="1" w:styleId="Style17">
    <w:name w:val="Style17"/>
    <w:basedOn w:val="Normal"/>
    <w:uiPriority w:val="99"/>
    <w:rsid w:val="00560AAD"/>
    <w:pPr>
      <w:widowControl w:val="0"/>
      <w:suppressAutoHyphens w:val="0"/>
      <w:autoSpaceDE w:val="0"/>
      <w:autoSpaceDN w:val="0"/>
      <w:adjustRightInd w:val="0"/>
      <w:spacing w:line="214" w:lineRule="exact"/>
      <w:jc w:val="both"/>
    </w:pPr>
    <w:rPr>
      <w:lang w:val="bg-BG" w:eastAsia="bg-BG"/>
    </w:rPr>
  </w:style>
  <w:style w:type="character" w:customStyle="1" w:styleId="FontStyle39">
    <w:name w:val="Font Style39"/>
    <w:basedOn w:val="DefaultParagraphFont"/>
    <w:uiPriority w:val="99"/>
    <w:rsid w:val="00560AAD"/>
    <w:rPr>
      <w:rFonts w:ascii="Times New Roman" w:hAnsi="Times New Roman" w:cs="Times New Roman"/>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7536700">
      <w:marLeft w:val="0"/>
      <w:marRight w:val="0"/>
      <w:marTop w:val="0"/>
      <w:marBottom w:val="0"/>
      <w:divBdr>
        <w:top w:val="none" w:sz="0" w:space="0" w:color="auto"/>
        <w:left w:val="none" w:sz="0" w:space="0" w:color="auto"/>
        <w:bottom w:val="none" w:sz="0" w:space="0" w:color="auto"/>
        <w:right w:val="none" w:sz="0" w:space="0" w:color="auto"/>
      </w:divBdr>
    </w:div>
    <w:div w:id="1087536705">
      <w:marLeft w:val="0"/>
      <w:marRight w:val="0"/>
      <w:marTop w:val="0"/>
      <w:marBottom w:val="0"/>
      <w:divBdr>
        <w:top w:val="none" w:sz="0" w:space="0" w:color="auto"/>
        <w:left w:val="none" w:sz="0" w:space="0" w:color="auto"/>
        <w:bottom w:val="none" w:sz="0" w:space="0" w:color="auto"/>
        <w:right w:val="none" w:sz="0" w:space="0" w:color="auto"/>
      </w:divBdr>
    </w:div>
    <w:div w:id="1087536706">
      <w:marLeft w:val="0"/>
      <w:marRight w:val="0"/>
      <w:marTop w:val="0"/>
      <w:marBottom w:val="0"/>
      <w:divBdr>
        <w:top w:val="none" w:sz="0" w:space="0" w:color="auto"/>
        <w:left w:val="none" w:sz="0" w:space="0" w:color="auto"/>
        <w:bottom w:val="none" w:sz="0" w:space="0" w:color="auto"/>
        <w:right w:val="none" w:sz="0" w:space="0" w:color="auto"/>
      </w:divBdr>
      <w:divsChild>
        <w:div w:id="1087536701">
          <w:marLeft w:val="0"/>
          <w:marRight w:val="0"/>
          <w:marTop w:val="0"/>
          <w:marBottom w:val="0"/>
          <w:divBdr>
            <w:top w:val="none" w:sz="0" w:space="0" w:color="auto"/>
            <w:left w:val="none" w:sz="0" w:space="0" w:color="auto"/>
            <w:bottom w:val="none" w:sz="0" w:space="0" w:color="auto"/>
            <w:right w:val="none" w:sz="0" w:space="0" w:color="auto"/>
          </w:divBdr>
          <w:divsChild>
            <w:div w:id="1087536709">
              <w:marLeft w:val="0"/>
              <w:marRight w:val="0"/>
              <w:marTop w:val="0"/>
              <w:marBottom w:val="0"/>
              <w:divBdr>
                <w:top w:val="none" w:sz="0" w:space="0" w:color="auto"/>
                <w:left w:val="none" w:sz="0" w:space="0" w:color="auto"/>
                <w:bottom w:val="none" w:sz="0" w:space="0" w:color="auto"/>
                <w:right w:val="none" w:sz="0" w:space="0" w:color="auto"/>
              </w:divBdr>
              <w:divsChild>
                <w:div w:id="1087536707">
                  <w:marLeft w:val="0"/>
                  <w:marRight w:val="0"/>
                  <w:marTop w:val="0"/>
                  <w:marBottom w:val="0"/>
                  <w:divBdr>
                    <w:top w:val="none" w:sz="0" w:space="0" w:color="auto"/>
                    <w:left w:val="none" w:sz="0" w:space="0" w:color="auto"/>
                    <w:bottom w:val="none" w:sz="0" w:space="0" w:color="auto"/>
                    <w:right w:val="none" w:sz="0" w:space="0" w:color="auto"/>
                  </w:divBdr>
                  <w:divsChild>
                    <w:div w:id="1087536704">
                      <w:marLeft w:val="0"/>
                      <w:marRight w:val="0"/>
                      <w:marTop w:val="0"/>
                      <w:marBottom w:val="0"/>
                      <w:divBdr>
                        <w:top w:val="none" w:sz="0" w:space="0" w:color="auto"/>
                        <w:left w:val="none" w:sz="0" w:space="0" w:color="auto"/>
                        <w:bottom w:val="none" w:sz="0" w:space="0" w:color="auto"/>
                        <w:right w:val="none" w:sz="0" w:space="0" w:color="auto"/>
                      </w:divBdr>
                      <w:divsChild>
                        <w:div w:id="1087536703">
                          <w:marLeft w:val="0"/>
                          <w:marRight w:val="0"/>
                          <w:marTop w:val="0"/>
                          <w:marBottom w:val="0"/>
                          <w:divBdr>
                            <w:top w:val="none" w:sz="0" w:space="0" w:color="auto"/>
                            <w:left w:val="none" w:sz="0" w:space="0" w:color="auto"/>
                            <w:bottom w:val="none" w:sz="0" w:space="0" w:color="auto"/>
                            <w:right w:val="none" w:sz="0" w:space="0" w:color="auto"/>
                          </w:divBdr>
                          <w:divsChild>
                            <w:div w:id="108753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7536708">
      <w:marLeft w:val="0"/>
      <w:marRight w:val="0"/>
      <w:marTop w:val="0"/>
      <w:marBottom w:val="0"/>
      <w:divBdr>
        <w:top w:val="none" w:sz="0" w:space="0" w:color="auto"/>
        <w:left w:val="none" w:sz="0" w:space="0" w:color="auto"/>
        <w:bottom w:val="none" w:sz="0" w:space="0" w:color="auto"/>
        <w:right w:val="none" w:sz="0" w:space="0" w:color="auto"/>
      </w:divBdr>
    </w:div>
    <w:div w:id="1087536711">
      <w:marLeft w:val="0"/>
      <w:marRight w:val="0"/>
      <w:marTop w:val="0"/>
      <w:marBottom w:val="0"/>
      <w:divBdr>
        <w:top w:val="none" w:sz="0" w:space="0" w:color="auto"/>
        <w:left w:val="none" w:sz="0" w:space="0" w:color="auto"/>
        <w:bottom w:val="none" w:sz="0" w:space="0" w:color="auto"/>
        <w:right w:val="none" w:sz="0" w:space="0" w:color="auto"/>
      </w:divBdr>
      <w:divsChild>
        <w:div w:id="1087536730">
          <w:marLeft w:val="0"/>
          <w:marRight w:val="0"/>
          <w:marTop w:val="0"/>
          <w:marBottom w:val="0"/>
          <w:divBdr>
            <w:top w:val="none" w:sz="0" w:space="0" w:color="auto"/>
            <w:left w:val="none" w:sz="0" w:space="0" w:color="auto"/>
            <w:bottom w:val="none" w:sz="0" w:space="0" w:color="auto"/>
            <w:right w:val="none" w:sz="0" w:space="0" w:color="auto"/>
          </w:divBdr>
        </w:div>
        <w:div w:id="1087536737">
          <w:marLeft w:val="0"/>
          <w:marRight w:val="0"/>
          <w:marTop w:val="0"/>
          <w:marBottom w:val="0"/>
          <w:divBdr>
            <w:top w:val="none" w:sz="0" w:space="0" w:color="auto"/>
            <w:left w:val="none" w:sz="0" w:space="0" w:color="auto"/>
            <w:bottom w:val="none" w:sz="0" w:space="0" w:color="auto"/>
            <w:right w:val="none" w:sz="0" w:space="0" w:color="auto"/>
          </w:divBdr>
        </w:div>
        <w:div w:id="1087536747">
          <w:marLeft w:val="0"/>
          <w:marRight w:val="0"/>
          <w:marTop w:val="0"/>
          <w:marBottom w:val="0"/>
          <w:divBdr>
            <w:top w:val="none" w:sz="0" w:space="0" w:color="auto"/>
            <w:left w:val="none" w:sz="0" w:space="0" w:color="auto"/>
            <w:bottom w:val="none" w:sz="0" w:space="0" w:color="auto"/>
            <w:right w:val="none" w:sz="0" w:space="0" w:color="auto"/>
          </w:divBdr>
        </w:div>
        <w:div w:id="1087536748">
          <w:marLeft w:val="0"/>
          <w:marRight w:val="0"/>
          <w:marTop w:val="0"/>
          <w:marBottom w:val="0"/>
          <w:divBdr>
            <w:top w:val="none" w:sz="0" w:space="0" w:color="auto"/>
            <w:left w:val="none" w:sz="0" w:space="0" w:color="auto"/>
            <w:bottom w:val="none" w:sz="0" w:space="0" w:color="auto"/>
            <w:right w:val="none" w:sz="0" w:space="0" w:color="auto"/>
          </w:divBdr>
        </w:div>
        <w:div w:id="1087536755">
          <w:marLeft w:val="0"/>
          <w:marRight w:val="0"/>
          <w:marTop w:val="0"/>
          <w:marBottom w:val="0"/>
          <w:divBdr>
            <w:top w:val="none" w:sz="0" w:space="0" w:color="auto"/>
            <w:left w:val="none" w:sz="0" w:space="0" w:color="auto"/>
            <w:bottom w:val="none" w:sz="0" w:space="0" w:color="auto"/>
            <w:right w:val="none" w:sz="0" w:space="0" w:color="auto"/>
          </w:divBdr>
        </w:div>
        <w:div w:id="1087536766">
          <w:marLeft w:val="0"/>
          <w:marRight w:val="0"/>
          <w:marTop w:val="0"/>
          <w:marBottom w:val="0"/>
          <w:divBdr>
            <w:top w:val="none" w:sz="0" w:space="0" w:color="auto"/>
            <w:left w:val="none" w:sz="0" w:space="0" w:color="auto"/>
            <w:bottom w:val="none" w:sz="0" w:space="0" w:color="auto"/>
            <w:right w:val="none" w:sz="0" w:space="0" w:color="auto"/>
          </w:divBdr>
        </w:div>
      </w:divsChild>
    </w:div>
    <w:div w:id="1087536712">
      <w:marLeft w:val="0"/>
      <w:marRight w:val="0"/>
      <w:marTop w:val="0"/>
      <w:marBottom w:val="0"/>
      <w:divBdr>
        <w:top w:val="none" w:sz="0" w:space="0" w:color="auto"/>
        <w:left w:val="none" w:sz="0" w:space="0" w:color="auto"/>
        <w:bottom w:val="none" w:sz="0" w:space="0" w:color="auto"/>
        <w:right w:val="none" w:sz="0" w:space="0" w:color="auto"/>
      </w:divBdr>
    </w:div>
    <w:div w:id="1087536713">
      <w:marLeft w:val="0"/>
      <w:marRight w:val="0"/>
      <w:marTop w:val="0"/>
      <w:marBottom w:val="0"/>
      <w:divBdr>
        <w:top w:val="none" w:sz="0" w:space="0" w:color="auto"/>
        <w:left w:val="none" w:sz="0" w:space="0" w:color="auto"/>
        <w:bottom w:val="none" w:sz="0" w:space="0" w:color="auto"/>
        <w:right w:val="none" w:sz="0" w:space="0" w:color="auto"/>
      </w:divBdr>
    </w:div>
    <w:div w:id="1087536715">
      <w:marLeft w:val="0"/>
      <w:marRight w:val="0"/>
      <w:marTop w:val="0"/>
      <w:marBottom w:val="0"/>
      <w:divBdr>
        <w:top w:val="none" w:sz="0" w:space="0" w:color="auto"/>
        <w:left w:val="none" w:sz="0" w:space="0" w:color="auto"/>
        <w:bottom w:val="none" w:sz="0" w:space="0" w:color="auto"/>
        <w:right w:val="none" w:sz="0" w:space="0" w:color="auto"/>
      </w:divBdr>
    </w:div>
    <w:div w:id="1087536717">
      <w:marLeft w:val="0"/>
      <w:marRight w:val="0"/>
      <w:marTop w:val="0"/>
      <w:marBottom w:val="0"/>
      <w:divBdr>
        <w:top w:val="none" w:sz="0" w:space="0" w:color="auto"/>
        <w:left w:val="none" w:sz="0" w:space="0" w:color="auto"/>
        <w:bottom w:val="none" w:sz="0" w:space="0" w:color="auto"/>
        <w:right w:val="none" w:sz="0" w:space="0" w:color="auto"/>
      </w:divBdr>
    </w:div>
    <w:div w:id="1087536718">
      <w:marLeft w:val="0"/>
      <w:marRight w:val="0"/>
      <w:marTop w:val="0"/>
      <w:marBottom w:val="0"/>
      <w:divBdr>
        <w:top w:val="none" w:sz="0" w:space="0" w:color="auto"/>
        <w:left w:val="none" w:sz="0" w:space="0" w:color="auto"/>
        <w:bottom w:val="none" w:sz="0" w:space="0" w:color="auto"/>
        <w:right w:val="none" w:sz="0" w:space="0" w:color="auto"/>
      </w:divBdr>
      <w:divsChild>
        <w:div w:id="1087536710">
          <w:marLeft w:val="0"/>
          <w:marRight w:val="0"/>
          <w:marTop w:val="0"/>
          <w:marBottom w:val="0"/>
          <w:divBdr>
            <w:top w:val="none" w:sz="0" w:space="0" w:color="auto"/>
            <w:left w:val="none" w:sz="0" w:space="0" w:color="auto"/>
            <w:bottom w:val="none" w:sz="0" w:space="0" w:color="auto"/>
            <w:right w:val="none" w:sz="0" w:space="0" w:color="auto"/>
          </w:divBdr>
        </w:div>
        <w:div w:id="1087536724">
          <w:marLeft w:val="0"/>
          <w:marRight w:val="0"/>
          <w:marTop w:val="0"/>
          <w:marBottom w:val="0"/>
          <w:divBdr>
            <w:top w:val="none" w:sz="0" w:space="0" w:color="auto"/>
            <w:left w:val="none" w:sz="0" w:space="0" w:color="auto"/>
            <w:bottom w:val="none" w:sz="0" w:space="0" w:color="auto"/>
            <w:right w:val="none" w:sz="0" w:space="0" w:color="auto"/>
          </w:divBdr>
        </w:div>
        <w:div w:id="1087536729">
          <w:marLeft w:val="0"/>
          <w:marRight w:val="0"/>
          <w:marTop w:val="0"/>
          <w:marBottom w:val="0"/>
          <w:divBdr>
            <w:top w:val="none" w:sz="0" w:space="0" w:color="auto"/>
            <w:left w:val="none" w:sz="0" w:space="0" w:color="auto"/>
            <w:bottom w:val="none" w:sz="0" w:space="0" w:color="auto"/>
            <w:right w:val="none" w:sz="0" w:space="0" w:color="auto"/>
          </w:divBdr>
        </w:div>
        <w:div w:id="1087536734">
          <w:marLeft w:val="0"/>
          <w:marRight w:val="0"/>
          <w:marTop w:val="0"/>
          <w:marBottom w:val="0"/>
          <w:divBdr>
            <w:top w:val="none" w:sz="0" w:space="0" w:color="auto"/>
            <w:left w:val="none" w:sz="0" w:space="0" w:color="auto"/>
            <w:bottom w:val="none" w:sz="0" w:space="0" w:color="auto"/>
            <w:right w:val="none" w:sz="0" w:space="0" w:color="auto"/>
          </w:divBdr>
        </w:div>
        <w:div w:id="1087536746">
          <w:marLeft w:val="0"/>
          <w:marRight w:val="0"/>
          <w:marTop w:val="0"/>
          <w:marBottom w:val="0"/>
          <w:divBdr>
            <w:top w:val="none" w:sz="0" w:space="0" w:color="auto"/>
            <w:left w:val="none" w:sz="0" w:space="0" w:color="auto"/>
            <w:bottom w:val="none" w:sz="0" w:space="0" w:color="auto"/>
            <w:right w:val="none" w:sz="0" w:space="0" w:color="auto"/>
          </w:divBdr>
        </w:div>
      </w:divsChild>
    </w:div>
    <w:div w:id="1087536720">
      <w:marLeft w:val="0"/>
      <w:marRight w:val="0"/>
      <w:marTop w:val="0"/>
      <w:marBottom w:val="0"/>
      <w:divBdr>
        <w:top w:val="none" w:sz="0" w:space="0" w:color="auto"/>
        <w:left w:val="none" w:sz="0" w:space="0" w:color="auto"/>
        <w:bottom w:val="none" w:sz="0" w:space="0" w:color="auto"/>
        <w:right w:val="none" w:sz="0" w:space="0" w:color="auto"/>
      </w:divBdr>
      <w:divsChild>
        <w:div w:id="1087536749">
          <w:marLeft w:val="0"/>
          <w:marRight w:val="0"/>
          <w:marTop w:val="0"/>
          <w:marBottom w:val="0"/>
          <w:divBdr>
            <w:top w:val="none" w:sz="0" w:space="0" w:color="auto"/>
            <w:left w:val="none" w:sz="0" w:space="0" w:color="auto"/>
            <w:bottom w:val="none" w:sz="0" w:space="0" w:color="auto"/>
            <w:right w:val="none" w:sz="0" w:space="0" w:color="auto"/>
          </w:divBdr>
        </w:div>
        <w:div w:id="1087536756">
          <w:marLeft w:val="0"/>
          <w:marRight w:val="0"/>
          <w:marTop w:val="0"/>
          <w:marBottom w:val="0"/>
          <w:divBdr>
            <w:top w:val="none" w:sz="0" w:space="0" w:color="auto"/>
            <w:left w:val="none" w:sz="0" w:space="0" w:color="auto"/>
            <w:bottom w:val="none" w:sz="0" w:space="0" w:color="auto"/>
            <w:right w:val="none" w:sz="0" w:space="0" w:color="auto"/>
          </w:divBdr>
        </w:div>
      </w:divsChild>
    </w:div>
    <w:div w:id="1087536721">
      <w:marLeft w:val="0"/>
      <w:marRight w:val="0"/>
      <w:marTop w:val="0"/>
      <w:marBottom w:val="0"/>
      <w:divBdr>
        <w:top w:val="none" w:sz="0" w:space="0" w:color="auto"/>
        <w:left w:val="none" w:sz="0" w:space="0" w:color="auto"/>
        <w:bottom w:val="none" w:sz="0" w:space="0" w:color="auto"/>
        <w:right w:val="none" w:sz="0" w:space="0" w:color="auto"/>
      </w:divBdr>
    </w:div>
    <w:div w:id="1087536726">
      <w:marLeft w:val="0"/>
      <w:marRight w:val="0"/>
      <w:marTop w:val="0"/>
      <w:marBottom w:val="0"/>
      <w:divBdr>
        <w:top w:val="none" w:sz="0" w:space="0" w:color="auto"/>
        <w:left w:val="none" w:sz="0" w:space="0" w:color="auto"/>
        <w:bottom w:val="none" w:sz="0" w:space="0" w:color="auto"/>
        <w:right w:val="none" w:sz="0" w:space="0" w:color="auto"/>
      </w:divBdr>
    </w:div>
    <w:div w:id="1087536738">
      <w:marLeft w:val="0"/>
      <w:marRight w:val="0"/>
      <w:marTop w:val="0"/>
      <w:marBottom w:val="0"/>
      <w:divBdr>
        <w:top w:val="none" w:sz="0" w:space="0" w:color="auto"/>
        <w:left w:val="none" w:sz="0" w:space="0" w:color="auto"/>
        <w:bottom w:val="none" w:sz="0" w:space="0" w:color="auto"/>
        <w:right w:val="none" w:sz="0" w:space="0" w:color="auto"/>
      </w:divBdr>
    </w:div>
    <w:div w:id="1087536744">
      <w:marLeft w:val="0"/>
      <w:marRight w:val="0"/>
      <w:marTop w:val="0"/>
      <w:marBottom w:val="0"/>
      <w:divBdr>
        <w:top w:val="none" w:sz="0" w:space="0" w:color="auto"/>
        <w:left w:val="none" w:sz="0" w:space="0" w:color="auto"/>
        <w:bottom w:val="none" w:sz="0" w:space="0" w:color="auto"/>
        <w:right w:val="none" w:sz="0" w:space="0" w:color="auto"/>
      </w:divBdr>
      <w:divsChild>
        <w:div w:id="1087536714">
          <w:marLeft w:val="0"/>
          <w:marRight w:val="0"/>
          <w:marTop w:val="0"/>
          <w:marBottom w:val="0"/>
          <w:divBdr>
            <w:top w:val="none" w:sz="0" w:space="0" w:color="auto"/>
            <w:left w:val="none" w:sz="0" w:space="0" w:color="auto"/>
            <w:bottom w:val="none" w:sz="0" w:space="0" w:color="auto"/>
            <w:right w:val="none" w:sz="0" w:space="0" w:color="auto"/>
          </w:divBdr>
        </w:div>
        <w:div w:id="1087536739">
          <w:marLeft w:val="0"/>
          <w:marRight w:val="0"/>
          <w:marTop w:val="0"/>
          <w:marBottom w:val="0"/>
          <w:divBdr>
            <w:top w:val="none" w:sz="0" w:space="0" w:color="auto"/>
            <w:left w:val="none" w:sz="0" w:space="0" w:color="auto"/>
            <w:bottom w:val="none" w:sz="0" w:space="0" w:color="auto"/>
            <w:right w:val="none" w:sz="0" w:space="0" w:color="auto"/>
          </w:divBdr>
        </w:div>
        <w:div w:id="1087536762">
          <w:marLeft w:val="0"/>
          <w:marRight w:val="0"/>
          <w:marTop w:val="0"/>
          <w:marBottom w:val="0"/>
          <w:divBdr>
            <w:top w:val="none" w:sz="0" w:space="0" w:color="auto"/>
            <w:left w:val="none" w:sz="0" w:space="0" w:color="auto"/>
            <w:bottom w:val="none" w:sz="0" w:space="0" w:color="auto"/>
            <w:right w:val="none" w:sz="0" w:space="0" w:color="auto"/>
          </w:divBdr>
        </w:div>
        <w:div w:id="1087536770">
          <w:marLeft w:val="0"/>
          <w:marRight w:val="0"/>
          <w:marTop w:val="0"/>
          <w:marBottom w:val="0"/>
          <w:divBdr>
            <w:top w:val="none" w:sz="0" w:space="0" w:color="auto"/>
            <w:left w:val="none" w:sz="0" w:space="0" w:color="auto"/>
            <w:bottom w:val="none" w:sz="0" w:space="0" w:color="auto"/>
            <w:right w:val="none" w:sz="0" w:space="0" w:color="auto"/>
          </w:divBdr>
        </w:div>
      </w:divsChild>
    </w:div>
    <w:div w:id="1087536751">
      <w:marLeft w:val="0"/>
      <w:marRight w:val="0"/>
      <w:marTop w:val="0"/>
      <w:marBottom w:val="0"/>
      <w:divBdr>
        <w:top w:val="none" w:sz="0" w:space="0" w:color="auto"/>
        <w:left w:val="none" w:sz="0" w:space="0" w:color="auto"/>
        <w:bottom w:val="none" w:sz="0" w:space="0" w:color="auto"/>
        <w:right w:val="none" w:sz="0" w:space="0" w:color="auto"/>
      </w:divBdr>
    </w:div>
    <w:div w:id="1087536753">
      <w:marLeft w:val="0"/>
      <w:marRight w:val="0"/>
      <w:marTop w:val="0"/>
      <w:marBottom w:val="0"/>
      <w:divBdr>
        <w:top w:val="none" w:sz="0" w:space="0" w:color="auto"/>
        <w:left w:val="none" w:sz="0" w:space="0" w:color="auto"/>
        <w:bottom w:val="none" w:sz="0" w:space="0" w:color="auto"/>
        <w:right w:val="none" w:sz="0" w:space="0" w:color="auto"/>
      </w:divBdr>
      <w:divsChild>
        <w:div w:id="1087536716">
          <w:marLeft w:val="0"/>
          <w:marRight w:val="0"/>
          <w:marTop w:val="0"/>
          <w:marBottom w:val="0"/>
          <w:divBdr>
            <w:top w:val="none" w:sz="0" w:space="0" w:color="auto"/>
            <w:left w:val="none" w:sz="0" w:space="0" w:color="auto"/>
            <w:bottom w:val="none" w:sz="0" w:space="0" w:color="auto"/>
            <w:right w:val="none" w:sz="0" w:space="0" w:color="auto"/>
          </w:divBdr>
        </w:div>
        <w:div w:id="1087536735">
          <w:marLeft w:val="0"/>
          <w:marRight w:val="0"/>
          <w:marTop w:val="0"/>
          <w:marBottom w:val="0"/>
          <w:divBdr>
            <w:top w:val="none" w:sz="0" w:space="0" w:color="auto"/>
            <w:left w:val="none" w:sz="0" w:space="0" w:color="auto"/>
            <w:bottom w:val="none" w:sz="0" w:space="0" w:color="auto"/>
            <w:right w:val="none" w:sz="0" w:space="0" w:color="auto"/>
          </w:divBdr>
        </w:div>
        <w:div w:id="1087536741">
          <w:marLeft w:val="0"/>
          <w:marRight w:val="0"/>
          <w:marTop w:val="0"/>
          <w:marBottom w:val="0"/>
          <w:divBdr>
            <w:top w:val="none" w:sz="0" w:space="0" w:color="auto"/>
            <w:left w:val="none" w:sz="0" w:space="0" w:color="auto"/>
            <w:bottom w:val="none" w:sz="0" w:space="0" w:color="auto"/>
            <w:right w:val="none" w:sz="0" w:space="0" w:color="auto"/>
          </w:divBdr>
        </w:div>
        <w:div w:id="1087536743">
          <w:marLeft w:val="0"/>
          <w:marRight w:val="0"/>
          <w:marTop w:val="0"/>
          <w:marBottom w:val="0"/>
          <w:divBdr>
            <w:top w:val="none" w:sz="0" w:space="0" w:color="auto"/>
            <w:left w:val="none" w:sz="0" w:space="0" w:color="auto"/>
            <w:bottom w:val="none" w:sz="0" w:space="0" w:color="auto"/>
            <w:right w:val="none" w:sz="0" w:space="0" w:color="auto"/>
          </w:divBdr>
        </w:div>
        <w:div w:id="1087536752">
          <w:marLeft w:val="0"/>
          <w:marRight w:val="0"/>
          <w:marTop w:val="0"/>
          <w:marBottom w:val="0"/>
          <w:divBdr>
            <w:top w:val="none" w:sz="0" w:space="0" w:color="auto"/>
            <w:left w:val="none" w:sz="0" w:space="0" w:color="auto"/>
            <w:bottom w:val="none" w:sz="0" w:space="0" w:color="auto"/>
            <w:right w:val="none" w:sz="0" w:space="0" w:color="auto"/>
          </w:divBdr>
        </w:div>
        <w:div w:id="1087536758">
          <w:marLeft w:val="0"/>
          <w:marRight w:val="0"/>
          <w:marTop w:val="0"/>
          <w:marBottom w:val="0"/>
          <w:divBdr>
            <w:top w:val="none" w:sz="0" w:space="0" w:color="auto"/>
            <w:left w:val="none" w:sz="0" w:space="0" w:color="auto"/>
            <w:bottom w:val="none" w:sz="0" w:space="0" w:color="auto"/>
            <w:right w:val="none" w:sz="0" w:space="0" w:color="auto"/>
          </w:divBdr>
        </w:div>
        <w:div w:id="1087536759">
          <w:marLeft w:val="0"/>
          <w:marRight w:val="0"/>
          <w:marTop w:val="0"/>
          <w:marBottom w:val="0"/>
          <w:divBdr>
            <w:top w:val="none" w:sz="0" w:space="0" w:color="auto"/>
            <w:left w:val="none" w:sz="0" w:space="0" w:color="auto"/>
            <w:bottom w:val="none" w:sz="0" w:space="0" w:color="auto"/>
            <w:right w:val="none" w:sz="0" w:space="0" w:color="auto"/>
          </w:divBdr>
        </w:div>
        <w:div w:id="1087536760">
          <w:marLeft w:val="0"/>
          <w:marRight w:val="0"/>
          <w:marTop w:val="0"/>
          <w:marBottom w:val="0"/>
          <w:divBdr>
            <w:top w:val="none" w:sz="0" w:space="0" w:color="auto"/>
            <w:left w:val="none" w:sz="0" w:space="0" w:color="auto"/>
            <w:bottom w:val="none" w:sz="0" w:space="0" w:color="auto"/>
            <w:right w:val="none" w:sz="0" w:space="0" w:color="auto"/>
          </w:divBdr>
        </w:div>
        <w:div w:id="1087536765">
          <w:marLeft w:val="0"/>
          <w:marRight w:val="0"/>
          <w:marTop w:val="0"/>
          <w:marBottom w:val="0"/>
          <w:divBdr>
            <w:top w:val="none" w:sz="0" w:space="0" w:color="auto"/>
            <w:left w:val="none" w:sz="0" w:space="0" w:color="auto"/>
            <w:bottom w:val="none" w:sz="0" w:space="0" w:color="auto"/>
            <w:right w:val="none" w:sz="0" w:space="0" w:color="auto"/>
          </w:divBdr>
        </w:div>
        <w:div w:id="1087536771">
          <w:marLeft w:val="0"/>
          <w:marRight w:val="0"/>
          <w:marTop w:val="0"/>
          <w:marBottom w:val="0"/>
          <w:divBdr>
            <w:top w:val="none" w:sz="0" w:space="0" w:color="auto"/>
            <w:left w:val="none" w:sz="0" w:space="0" w:color="auto"/>
            <w:bottom w:val="none" w:sz="0" w:space="0" w:color="auto"/>
            <w:right w:val="none" w:sz="0" w:space="0" w:color="auto"/>
          </w:divBdr>
        </w:div>
      </w:divsChild>
    </w:div>
    <w:div w:id="1087536754">
      <w:marLeft w:val="0"/>
      <w:marRight w:val="0"/>
      <w:marTop w:val="0"/>
      <w:marBottom w:val="0"/>
      <w:divBdr>
        <w:top w:val="none" w:sz="0" w:space="0" w:color="auto"/>
        <w:left w:val="none" w:sz="0" w:space="0" w:color="auto"/>
        <w:bottom w:val="none" w:sz="0" w:space="0" w:color="auto"/>
        <w:right w:val="none" w:sz="0" w:space="0" w:color="auto"/>
      </w:divBdr>
      <w:divsChild>
        <w:div w:id="1087536719">
          <w:marLeft w:val="0"/>
          <w:marRight w:val="0"/>
          <w:marTop w:val="0"/>
          <w:marBottom w:val="0"/>
          <w:divBdr>
            <w:top w:val="none" w:sz="0" w:space="0" w:color="auto"/>
            <w:left w:val="none" w:sz="0" w:space="0" w:color="auto"/>
            <w:bottom w:val="none" w:sz="0" w:space="0" w:color="auto"/>
            <w:right w:val="none" w:sz="0" w:space="0" w:color="auto"/>
          </w:divBdr>
        </w:div>
        <w:div w:id="1087536722">
          <w:marLeft w:val="0"/>
          <w:marRight w:val="0"/>
          <w:marTop w:val="0"/>
          <w:marBottom w:val="0"/>
          <w:divBdr>
            <w:top w:val="none" w:sz="0" w:space="0" w:color="auto"/>
            <w:left w:val="none" w:sz="0" w:space="0" w:color="auto"/>
            <w:bottom w:val="none" w:sz="0" w:space="0" w:color="auto"/>
            <w:right w:val="none" w:sz="0" w:space="0" w:color="auto"/>
          </w:divBdr>
        </w:div>
        <w:div w:id="1087536723">
          <w:marLeft w:val="0"/>
          <w:marRight w:val="0"/>
          <w:marTop w:val="0"/>
          <w:marBottom w:val="0"/>
          <w:divBdr>
            <w:top w:val="none" w:sz="0" w:space="0" w:color="auto"/>
            <w:left w:val="none" w:sz="0" w:space="0" w:color="auto"/>
            <w:bottom w:val="none" w:sz="0" w:space="0" w:color="auto"/>
            <w:right w:val="none" w:sz="0" w:space="0" w:color="auto"/>
          </w:divBdr>
        </w:div>
        <w:div w:id="1087536731">
          <w:marLeft w:val="0"/>
          <w:marRight w:val="0"/>
          <w:marTop w:val="0"/>
          <w:marBottom w:val="0"/>
          <w:divBdr>
            <w:top w:val="none" w:sz="0" w:space="0" w:color="auto"/>
            <w:left w:val="none" w:sz="0" w:space="0" w:color="auto"/>
            <w:bottom w:val="none" w:sz="0" w:space="0" w:color="auto"/>
            <w:right w:val="none" w:sz="0" w:space="0" w:color="auto"/>
          </w:divBdr>
        </w:div>
        <w:div w:id="1087536732">
          <w:marLeft w:val="0"/>
          <w:marRight w:val="0"/>
          <w:marTop w:val="0"/>
          <w:marBottom w:val="0"/>
          <w:divBdr>
            <w:top w:val="none" w:sz="0" w:space="0" w:color="auto"/>
            <w:left w:val="none" w:sz="0" w:space="0" w:color="auto"/>
            <w:bottom w:val="none" w:sz="0" w:space="0" w:color="auto"/>
            <w:right w:val="none" w:sz="0" w:space="0" w:color="auto"/>
          </w:divBdr>
        </w:div>
        <w:div w:id="1087536742">
          <w:marLeft w:val="0"/>
          <w:marRight w:val="0"/>
          <w:marTop w:val="0"/>
          <w:marBottom w:val="0"/>
          <w:divBdr>
            <w:top w:val="none" w:sz="0" w:space="0" w:color="auto"/>
            <w:left w:val="none" w:sz="0" w:space="0" w:color="auto"/>
            <w:bottom w:val="none" w:sz="0" w:space="0" w:color="auto"/>
            <w:right w:val="none" w:sz="0" w:space="0" w:color="auto"/>
          </w:divBdr>
        </w:div>
        <w:div w:id="1087536745">
          <w:marLeft w:val="0"/>
          <w:marRight w:val="0"/>
          <w:marTop w:val="0"/>
          <w:marBottom w:val="0"/>
          <w:divBdr>
            <w:top w:val="none" w:sz="0" w:space="0" w:color="auto"/>
            <w:left w:val="none" w:sz="0" w:space="0" w:color="auto"/>
            <w:bottom w:val="none" w:sz="0" w:space="0" w:color="auto"/>
            <w:right w:val="none" w:sz="0" w:space="0" w:color="auto"/>
          </w:divBdr>
        </w:div>
        <w:div w:id="1087536767">
          <w:marLeft w:val="0"/>
          <w:marRight w:val="0"/>
          <w:marTop w:val="0"/>
          <w:marBottom w:val="0"/>
          <w:divBdr>
            <w:top w:val="none" w:sz="0" w:space="0" w:color="auto"/>
            <w:left w:val="none" w:sz="0" w:space="0" w:color="auto"/>
            <w:bottom w:val="none" w:sz="0" w:space="0" w:color="auto"/>
            <w:right w:val="none" w:sz="0" w:space="0" w:color="auto"/>
          </w:divBdr>
        </w:div>
      </w:divsChild>
    </w:div>
    <w:div w:id="1087536761">
      <w:marLeft w:val="0"/>
      <w:marRight w:val="0"/>
      <w:marTop w:val="0"/>
      <w:marBottom w:val="0"/>
      <w:divBdr>
        <w:top w:val="none" w:sz="0" w:space="0" w:color="auto"/>
        <w:left w:val="none" w:sz="0" w:space="0" w:color="auto"/>
        <w:bottom w:val="none" w:sz="0" w:space="0" w:color="auto"/>
        <w:right w:val="none" w:sz="0" w:space="0" w:color="auto"/>
      </w:divBdr>
    </w:div>
    <w:div w:id="1087536763">
      <w:marLeft w:val="0"/>
      <w:marRight w:val="0"/>
      <w:marTop w:val="0"/>
      <w:marBottom w:val="0"/>
      <w:divBdr>
        <w:top w:val="none" w:sz="0" w:space="0" w:color="auto"/>
        <w:left w:val="none" w:sz="0" w:space="0" w:color="auto"/>
        <w:bottom w:val="none" w:sz="0" w:space="0" w:color="auto"/>
        <w:right w:val="none" w:sz="0" w:space="0" w:color="auto"/>
      </w:divBdr>
    </w:div>
    <w:div w:id="1087536764">
      <w:marLeft w:val="0"/>
      <w:marRight w:val="0"/>
      <w:marTop w:val="0"/>
      <w:marBottom w:val="0"/>
      <w:divBdr>
        <w:top w:val="none" w:sz="0" w:space="0" w:color="auto"/>
        <w:left w:val="none" w:sz="0" w:space="0" w:color="auto"/>
        <w:bottom w:val="none" w:sz="0" w:space="0" w:color="auto"/>
        <w:right w:val="none" w:sz="0" w:space="0" w:color="auto"/>
      </w:divBdr>
      <w:divsChild>
        <w:div w:id="1087536725">
          <w:marLeft w:val="0"/>
          <w:marRight w:val="0"/>
          <w:marTop w:val="0"/>
          <w:marBottom w:val="0"/>
          <w:divBdr>
            <w:top w:val="none" w:sz="0" w:space="0" w:color="auto"/>
            <w:left w:val="none" w:sz="0" w:space="0" w:color="auto"/>
            <w:bottom w:val="none" w:sz="0" w:space="0" w:color="auto"/>
            <w:right w:val="none" w:sz="0" w:space="0" w:color="auto"/>
          </w:divBdr>
        </w:div>
        <w:div w:id="1087536727">
          <w:marLeft w:val="0"/>
          <w:marRight w:val="0"/>
          <w:marTop w:val="0"/>
          <w:marBottom w:val="0"/>
          <w:divBdr>
            <w:top w:val="none" w:sz="0" w:space="0" w:color="auto"/>
            <w:left w:val="none" w:sz="0" w:space="0" w:color="auto"/>
            <w:bottom w:val="none" w:sz="0" w:space="0" w:color="auto"/>
            <w:right w:val="none" w:sz="0" w:space="0" w:color="auto"/>
          </w:divBdr>
        </w:div>
        <w:div w:id="1087536728">
          <w:marLeft w:val="0"/>
          <w:marRight w:val="0"/>
          <w:marTop w:val="0"/>
          <w:marBottom w:val="0"/>
          <w:divBdr>
            <w:top w:val="none" w:sz="0" w:space="0" w:color="auto"/>
            <w:left w:val="none" w:sz="0" w:space="0" w:color="auto"/>
            <w:bottom w:val="none" w:sz="0" w:space="0" w:color="auto"/>
            <w:right w:val="none" w:sz="0" w:space="0" w:color="auto"/>
          </w:divBdr>
        </w:div>
        <w:div w:id="1087536733">
          <w:marLeft w:val="0"/>
          <w:marRight w:val="0"/>
          <w:marTop w:val="0"/>
          <w:marBottom w:val="0"/>
          <w:divBdr>
            <w:top w:val="none" w:sz="0" w:space="0" w:color="auto"/>
            <w:left w:val="none" w:sz="0" w:space="0" w:color="auto"/>
            <w:bottom w:val="none" w:sz="0" w:space="0" w:color="auto"/>
            <w:right w:val="none" w:sz="0" w:space="0" w:color="auto"/>
          </w:divBdr>
        </w:div>
        <w:div w:id="1087536736">
          <w:marLeft w:val="0"/>
          <w:marRight w:val="0"/>
          <w:marTop w:val="0"/>
          <w:marBottom w:val="0"/>
          <w:divBdr>
            <w:top w:val="none" w:sz="0" w:space="0" w:color="auto"/>
            <w:left w:val="none" w:sz="0" w:space="0" w:color="auto"/>
            <w:bottom w:val="none" w:sz="0" w:space="0" w:color="auto"/>
            <w:right w:val="none" w:sz="0" w:space="0" w:color="auto"/>
          </w:divBdr>
        </w:div>
        <w:div w:id="1087536740">
          <w:marLeft w:val="0"/>
          <w:marRight w:val="0"/>
          <w:marTop w:val="0"/>
          <w:marBottom w:val="0"/>
          <w:divBdr>
            <w:top w:val="none" w:sz="0" w:space="0" w:color="auto"/>
            <w:left w:val="none" w:sz="0" w:space="0" w:color="auto"/>
            <w:bottom w:val="none" w:sz="0" w:space="0" w:color="auto"/>
            <w:right w:val="none" w:sz="0" w:space="0" w:color="auto"/>
          </w:divBdr>
        </w:div>
        <w:div w:id="1087536750">
          <w:marLeft w:val="0"/>
          <w:marRight w:val="0"/>
          <w:marTop w:val="0"/>
          <w:marBottom w:val="0"/>
          <w:divBdr>
            <w:top w:val="none" w:sz="0" w:space="0" w:color="auto"/>
            <w:left w:val="none" w:sz="0" w:space="0" w:color="auto"/>
            <w:bottom w:val="none" w:sz="0" w:space="0" w:color="auto"/>
            <w:right w:val="none" w:sz="0" w:space="0" w:color="auto"/>
          </w:divBdr>
        </w:div>
        <w:div w:id="1087536757">
          <w:marLeft w:val="0"/>
          <w:marRight w:val="0"/>
          <w:marTop w:val="0"/>
          <w:marBottom w:val="0"/>
          <w:divBdr>
            <w:top w:val="none" w:sz="0" w:space="0" w:color="auto"/>
            <w:left w:val="none" w:sz="0" w:space="0" w:color="auto"/>
            <w:bottom w:val="none" w:sz="0" w:space="0" w:color="auto"/>
            <w:right w:val="none" w:sz="0" w:space="0" w:color="auto"/>
          </w:divBdr>
        </w:div>
        <w:div w:id="1087536774">
          <w:marLeft w:val="0"/>
          <w:marRight w:val="0"/>
          <w:marTop w:val="0"/>
          <w:marBottom w:val="0"/>
          <w:divBdr>
            <w:top w:val="none" w:sz="0" w:space="0" w:color="auto"/>
            <w:left w:val="none" w:sz="0" w:space="0" w:color="auto"/>
            <w:bottom w:val="none" w:sz="0" w:space="0" w:color="auto"/>
            <w:right w:val="none" w:sz="0" w:space="0" w:color="auto"/>
          </w:divBdr>
        </w:div>
      </w:divsChild>
    </w:div>
    <w:div w:id="1087536769">
      <w:marLeft w:val="0"/>
      <w:marRight w:val="0"/>
      <w:marTop w:val="0"/>
      <w:marBottom w:val="0"/>
      <w:divBdr>
        <w:top w:val="none" w:sz="0" w:space="0" w:color="auto"/>
        <w:left w:val="none" w:sz="0" w:space="0" w:color="auto"/>
        <w:bottom w:val="none" w:sz="0" w:space="0" w:color="auto"/>
        <w:right w:val="none" w:sz="0" w:space="0" w:color="auto"/>
      </w:divBdr>
      <w:divsChild>
        <w:div w:id="1087536768">
          <w:marLeft w:val="0"/>
          <w:marRight w:val="0"/>
          <w:marTop w:val="0"/>
          <w:marBottom w:val="0"/>
          <w:divBdr>
            <w:top w:val="none" w:sz="0" w:space="0" w:color="auto"/>
            <w:left w:val="none" w:sz="0" w:space="0" w:color="auto"/>
            <w:bottom w:val="none" w:sz="0" w:space="0" w:color="auto"/>
            <w:right w:val="none" w:sz="0" w:space="0" w:color="auto"/>
          </w:divBdr>
        </w:div>
        <w:div w:id="1087536773">
          <w:marLeft w:val="0"/>
          <w:marRight w:val="0"/>
          <w:marTop w:val="0"/>
          <w:marBottom w:val="0"/>
          <w:divBdr>
            <w:top w:val="none" w:sz="0" w:space="0" w:color="auto"/>
            <w:left w:val="none" w:sz="0" w:space="0" w:color="auto"/>
            <w:bottom w:val="none" w:sz="0" w:space="0" w:color="auto"/>
            <w:right w:val="none" w:sz="0" w:space="0" w:color="auto"/>
          </w:divBdr>
        </w:div>
      </w:divsChild>
    </w:div>
    <w:div w:id="108753677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microsoft.com/office/2007/relationships/stylesWithEffects" Target="stylesWithEffect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57</Pages>
  <Words>21525</Words>
  <Characters>122698</Characters>
  <Application>Microsoft Office Word</Application>
  <DocSecurity>0</DocSecurity>
  <Lines>1022</Lines>
  <Paragraphs>287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143936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2016-02-17T11:43:00Z</dcterms:created>
  <dcterms:modified xsi:type="dcterms:W3CDTF">2016-02-17T11:43:00Z</dcterms:modified>
</cp:coreProperties>
</file>