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CAF" w:rsidRPr="0072278C" w:rsidRDefault="00845CAF" w:rsidP="00845CAF">
      <w:pPr>
        <w:jc w:val="center"/>
      </w:pPr>
      <w:bookmarkStart w:id="0" w:name="_GoBack"/>
      <w:bookmarkEnd w:id="0"/>
    </w:p>
    <w:p w:rsidR="00845CAF" w:rsidRPr="0072278C" w:rsidRDefault="00845CAF" w:rsidP="00845CAF">
      <w:pPr>
        <w:jc w:val="center"/>
      </w:pPr>
    </w:p>
    <w:p w:rsidR="00845CAF" w:rsidRPr="0072278C" w:rsidRDefault="00845CAF" w:rsidP="00845CAF">
      <w:pPr>
        <w:jc w:val="center"/>
      </w:pPr>
    </w:p>
    <w:p w:rsidR="00845CAF" w:rsidRPr="0072278C" w:rsidRDefault="00845CAF" w:rsidP="00845CAF">
      <w:pPr>
        <w:jc w:val="center"/>
      </w:pPr>
      <w:r>
        <w:t>ЧЕТВЪРТО ОТДЕЛЕНИЕ</w:t>
      </w:r>
    </w:p>
    <w:p w:rsidR="00845CAF" w:rsidRPr="0072278C" w:rsidRDefault="00845CAF" w:rsidP="00845CAF">
      <w:pPr>
        <w:jc w:val="center"/>
      </w:pPr>
    </w:p>
    <w:p w:rsidR="00845CAF" w:rsidRPr="0072278C" w:rsidRDefault="00845CAF" w:rsidP="00845CAF">
      <w:pPr>
        <w:jc w:val="center"/>
      </w:pPr>
    </w:p>
    <w:p w:rsidR="00845CAF" w:rsidRPr="0072278C" w:rsidRDefault="00845CAF" w:rsidP="00845CAF">
      <w:pPr>
        <w:jc w:val="center"/>
      </w:pPr>
    </w:p>
    <w:p w:rsidR="00845CAF" w:rsidRPr="0072278C" w:rsidRDefault="00845CAF" w:rsidP="00845CAF">
      <w:pPr>
        <w:jc w:val="center"/>
      </w:pPr>
    </w:p>
    <w:p w:rsidR="00845CAF" w:rsidRPr="0072278C" w:rsidRDefault="00845CAF" w:rsidP="00845CAF">
      <w:pPr>
        <w:jc w:val="center"/>
      </w:pPr>
    </w:p>
    <w:p w:rsidR="00845CAF" w:rsidRPr="0072278C" w:rsidRDefault="00845CAF" w:rsidP="00845CAF">
      <w:pPr>
        <w:jc w:val="center"/>
      </w:pPr>
    </w:p>
    <w:p w:rsidR="00845CAF" w:rsidRPr="0072278C" w:rsidRDefault="00845CAF" w:rsidP="00845CAF">
      <w:pPr>
        <w:jc w:val="center"/>
      </w:pPr>
    </w:p>
    <w:p w:rsidR="00845CAF" w:rsidRPr="0072278C" w:rsidRDefault="00845CAF" w:rsidP="00845CAF">
      <w:pPr>
        <w:jc w:val="center"/>
      </w:pPr>
    </w:p>
    <w:p w:rsidR="00845CAF" w:rsidRPr="0072278C" w:rsidRDefault="00845CAF" w:rsidP="00845CAF">
      <w:pPr>
        <w:jc w:val="center"/>
        <w:rPr>
          <w:b/>
        </w:rPr>
      </w:pPr>
      <w:bookmarkStart w:id="1" w:name="To"/>
      <w:r>
        <w:rPr>
          <w:b/>
        </w:rPr>
        <w:t xml:space="preserve">ДЕЛО </w:t>
      </w:r>
      <w:bookmarkEnd w:id="1"/>
      <w:r>
        <w:rPr>
          <w:b/>
        </w:rPr>
        <w:t>ДИМИТРОВА СРЕЩУ БЪЛГАРИЯ</w:t>
      </w:r>
    </w:p>
    <w:p w:rsidR="00845CAF" w:rsidRPr="0072278C" w:rsidRDefault="00845CAF" w:rsidP="00845CAF">
      <w:pPr>
        <w:jc w:val="center"/>
      </w:pPr>
    </w:p>
    <w:p w:rsidR="00845CAF" w:rsidRPr="0072278C" w:rsidRDefault="00845CAF" w:rsidP="00845CAF">
      <w:pPr>
        <w:jc w:val="center"/>
        <w:rPr>
          <w:i/>
        </w:rPr>
      </w:pPr>
      <w:r>
        <w:rPr>
          <w:i/>
        </w:rPr>
        <w:t xml:space="preserve">(Жалба </w:t>
      </w:r>
      <w:r>
        <w:rPr>
          <w:i/>
          <w:cs/>
        </w:rPr>
        <w:t xml:space="preserve">№ </w:t>
      </w:r>
      <w:r>
        <w:rPr>
          <w:i/>
        </w:rPr>
        <w:t>15452/07)</w:t>
      </w:r>
    </w:p>
    <w:p w:rsidR="00845CAF" w:rsidRPr="0072278C" w:rsidRDefault="00845CAF" w:rsidP="00845CAF">
      <w:pPr>
        <w:jc w:val="center"/>
      </w:pPr>
    </w:p>
    <w:p w:rsidR="00845CAF" w:rsidRPr="0072278C" w:rsidRDefault="00845CAF" w:rsidP="00845CAF">
      <w:pPr>
        <w:jc w:val="center"/>
      </w:pPr>
    </w:p>
    <w:p w:rsidR="00845CAF" w:rsidRPr="0072278C" w:rsidRDefault="00845CAF" w:rsidP="00845CAF">
      <w:pPr>
        <w:jc w:val="center"/>
      </w:pPr>
    </w:p>
    <w:p w:rsidR="00845CAF" w:rsidRPr="0072278C" w:rsidRDefault="00845CAF" w:rsidP="00845CAF">
      <w:pPr>
        <w:jc w:val="center"/>
      </w:pPr>
    </w:p>
    <w:p w:rsidR="00845CAF" w:rsidRPr="0072278C" w:rsidRDefault="00845CAF" w:rsidP="00845CAF">
      <w:pPr>
        <w:jc w:val="center"/>
      </w:pPr>
    </w:p>
    <w:p w:rsidR="00845CAF" w:rsidRPr="0072278C" w:rsidRDefault="00845CAF" w:rsidP="00845CAF">
      <w:pPr>
        <w:jc w:val="center"/>
      </w:pPr>
    </w:p>
    <w:p w:rsidR="00845CAF" w:rsidRPr="0072278C" w:rsidRDefault="00845CAF" w:rsidP="00845CAF">
      <w:pPr>
        <w:jc w:val="center"/>
        <w:rPr>
          <w:szCs w:val="24"/>
        </w:rPr>
      </w:pPr>
      <w:r>
        <w:t>РЕШЕНИЕ</w:t>
      </w:r>
    </w:p>
    <w:p w:rsidR="00845CAF" w:rsidRDefault="00845CAF" w:rsidP="00845CAF">
      <w:pPr>
        <w:jc w:val="center"/>
        <w:rPr>
          <w:szCs w:val="24"/>
        </w:rPr>
      </w:pPr>
    </w:p>
    <w:p w:rsidR="00845CAF" w:rsidRPr="0072278C" w:rsidRDefault="00845CAF" w:rsidP="00845CAF">
      <w:pPr>
        <w:pStyle w:val="ECHRPara"/>
        <w:rPr>
          <w:i/>
        </w:rPr>
      </w:pPr>
    </w:p>
    <w:p w:rsidR="00845CAF" w:rsidRPr="0072278C" w:rsidRDefault="00845CAF" w:rsidP="00845CAF">
      <w:pPr>
        <w:pStyle w:val="JuCase"/>
        <w:ind w:firstLine="0"/>
        <w:jc w:val="center"/>
        <w:rPr>
          <w:b w:val="0"/>
        </w:rPr>
      </w:pPr>
    </w:p>
    <w:p w:rsidR="00845CAF" w:rsidRPr="0072278C" w:rsidRDefault="00845CAF" w:rsidP="00845CAF">
      <w:pPr>
        <w:pStyle w:val="JuCase"/>
        <w:ind w:firstLine="0"/>
        <w:jc w:val="center"/>
        <w:rPr>
          <w:b w:val="0"/>
        </w:rPr>
      </w:pPr>
    </w:p>
    <w:p w:rsidR="00845CAF" w:rsidRPr="0072278C" w:rsidRDefault="00845CAF" w:rsidP="00845CAF">
      <w:pPr>
        <w:pStyle w:val="JuCase"/>
        <w:ind w:firstLine="0"/>
        <w:jc w:val="center"/>
        <w:rPr>
          <w:b w:val="0"/>
        </w:rPr>
      </w:pPr>
      <w:r>
        <w:rPr>
          <w:b w:val="0"/>
        </w:rPr>
        <w:t>СТРАСБУРГ</w:t>
      </w:r>
    </w:p>
    <w:p w:rsidR="00845CAF" w:rsidRPr="0072278C" w:rsidRDefault="00845CAF" w:rsidP="00845CAF">
      <w:pPr>
        <w:pStyle w:val="JuCase"/>
        <w:ind w:firstLine="0"/>
        <w:jc w:val="center"/>
        <w:rPr>
          <w:b w:val="0"/>
        </w:rPr>
      </w:pPr>
    </w:p>
    <w:p w:rsidR="00845CAF" w:rsidRPr="0072278C" w:rsidRDefault="00845CAF" w:rsidP="00845CAF">
      <w:pPr>
        <w:pStyle w:val="JuCase"/>
        <w:ind w:firstLine="0"/>
        <w:jc w:val="center"/>
        <w:rPr>
          <w:b w:val="0"/>
        </w:rPr>
      </w:pPr>
      <w:r>
        <w:rPr>
          <w:b w:val="0"/>
        </w:rPr>
        <w:t>10 февруари 2015 г.</w:t>
      </w:r>
    </w:p>
    <w:p w:rsidR="00845CAF" w:rsidRPr="0072278C" w:rsidRDefault="00845CAF" w:rsidP="00845CAF">
      <w:pPr>
        <w:pStyle w:val="JuCase"/>
        <w:ind w:firstLine="0"/>
        <w:jc w:val="center"/>
        <w:rPr>
          <w:b w:val="0"/>
        </w:rPr>
      </w:pPr>
    </w:p>
    <w:p w:rsidR="00845CAF" w:rsidRPr="0072278C" w:rsidRDefault="00845CAF" w:rsidP="00845CAF">
      <w:pPr>
        <w:pStyle w:val="ECHRPara"/>
      </w:pPr>
    </w:p>
    <w:p w:rsidR="00845CAF" w:rsidRDefault="00845CAF" w:rsidP="00845CAF">
      <w:pPr>
        <w:pStyle w:val="jucase0"/>
        <w:ind w:firstLine="0"/>
        <w:jc w:val="center"/>
        <w:rPr>
          <w:color w:val="FF0000"/>
          <w:sz w:val="28"/>
          <w:szCs w:val="28"/>
          <w:u w:val="single"/>
        </w:rPr>
      </w:pPr>
      <w:r>
        <w:rPr>
          <w:color w:val="FF0000"/>
          <w:sz w:val="28"/>
          <w:u w:val="single"/>
        </w:rPr>
        <w:t>ОКОНЧАТЕЛНО</w:t>
      </w:r>
    </w:p>
    <w:p w:rsidR="00845CAF" w:rsidRDefault="00845CAF" w:rsidP="00845CAF">
      <w:pPr>
        <w:pStyle w:val="jupara"/>
        <w:tabs>
          <w:tab w:val="left" w:pos="4650"/>
        </w:tabs>
        <w:ind w:firstLine="0"/>
        <w:jc w:val="left"/>
        <w:rPr>
          <w:color w:val="FF0000"/>
          <w:sz w:val="28"/>
          <w:szCs w:val="28"/>
        </w:rPr>
      </w:pPr>
      <w:r>
        <w:rPr>
          <w:color w:val="FF0000"/>
          <w:sz w:val="28"/>
        </w:rPr>
        <w:tab/>
      </w:r>
    </w:p>
    <w:p w:rsidR="00845CAF" w:rsidRDefault="00845CAF" w:rsidP="00845CAF">
      <w:pPr>
        <w:pStyle w:val="jupara"/>
        <w:ind w:firstLine="0"/>
        <w:jc w:val="center"/>
        <w:rPr>
          <w:color w:val="FF0000"/>
          <w:sz w:val="28"/>
          <w:szCs w:val="28"/>
        </w:rPr>
      </w:pPr>
      <w:r>
        <w:rPr>
          <w:color w:val="FF0000"/>
          <w:sz w:val="28"/>
        </w:rPr>
        <w:t>10/05/2015</w:t>
      </w:r>
    </w:p>
    <w:p w:rsidR="00845CAF" w:rsidRDefault="00845CAF" w:rsidP="00845CAF">
      <w:pPr>
        <w:pStyle w:val="jupara"/>
        <w:ind w:firstLine="0"/>
        <w:jc w:val="center"/>
      </w:pPr>
    </w:p>
    <w:p w:rsidR="00845CAF" w:rsidRDefault="00845CAF" w:rsidP="00845CAF">
      <w:pPr>
        <w:jc w:val="center"/>
        <w:rPr>
          <w:i/>
          <w:iCs/>
          <w:sz w:val="22"/>
        </w:rPr>
      </w:pPr>
      <w:r>
        <w:rPr>
          <w:i/>
          <w:sz w:val="22"/>
        </w:rPr>
        <w:t>Това решение е станало окончателно при условията на чл. 44, ал. 2 от Конвенцията. Може да бъде предмет на редакционни промени.</w:t>
      </w:r>
    </w:p>
    <w:p w:rsidR="00845CAF" w:rsidRPr="002C2826" w:rsidRDefault="00845CAF" w:rsidP="00845CAF">
      <w:pPr>
        <w:pStyle w:val="JuCase"/>
        <w:ind w:firstLine="0"/>
        <w:rPr>
          <w:b w:val="0"/>
          <w:i/>
          <w:sz w:val="22"/>
        </w:rPr>
      </w:pPr>
    </w:p>
    <w:p w:rsidR="00845CAF" w:rsidRDefault="00845CAF" w:rsidP="00845CAF">
      <w:pPr>
        <w:pStyle w:val="ECHRPara"/>
        <w:sectPr w:rsidR="00845CAF" w:rsidSect="00845CAF">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code="9"/>
          <w:pgMar w:top="2274" w:right="2274" w:bottom="2274" w:left="2274" w:header="1701" w:footer="720" w:gutter="0"/>
          <w:pgNumType w:start="1"/>
          <w:cols w:space="720"/>
          <w:titlePg/>
          <w:docGrid w:linePitch="326"/>
        </w:sectPr>
      </w:pPr>
    </w:p>
    <w:p w:rsidR="00845CAF" w:rsidRPr="0072278C" w:rsidRDefault="005A61A7" w:rsidP="00845CAF">
      <w:pPr>
        <w:pStyle w:val="JuCase"/>
        <w:rPr>
          <w:b w:val="0"/>
          <w:bCs/>
        </w:rPr>
      </w:pPr>
      <w:r>
        <w:lastRenderedPageBreak/>
        <w:t xml:space="preserve">По делото </w:t>
      </w:r>
      <w:r w:rsidR="00845CAF">
        <w:t>Димитрова срещу България,</w:t>
      </w:r>
    </w:p>
    <w:p w:rsidR="00845CAF" w:rsidRPr="0072278C" w:rsidRDefault="00845CAF" w:rsidP="00845CAF">
      <w:pPr>
        <w:pStyle w:val="ECHRPara"/>
        <w:rPr>
          <w:b/>
        </w:rPr>
      </w:pPr>
      <w:r>
        <w:t>Европейският съд по правата на човека (Четвърто отделение), заседаващ в състав:</w:t>
      </w:r>
    </w:p>
    <w:p w:rsidR="00845CAF" w:rsidRPr="0072278C" w:rsidRDefault="00845CAF" w:rsidP="00845CAF">
      <w:pPr>
        <w:pStyle w:val="ECHRDecisionBody"/>
      </w:pPr>
      <w:r>
        <w:tab/>
        <w:t>Гуидо Раймонди (Guido Raimondi),</w:t>
      </w:r>
      <w:r>
        <w:rPr>
          <w:i/>
        </w:rPr>
        <w:t xml:space="preserve"> председател,</w:t>
      </w:r>
      <w:r>
        <w:br/>
      </w:r>
      <w:r>
        <w:tab/>
        <w:t>Пейви Хирвеле (Päivi Hirvelä),</w:t>
      </w:r>
      <w:r>
        <w:br/>
      </w:r>
      <w:r>
        <w:tab/>
        <w:t>Леди Бианку (Ledi Bianku),</w:t>
      </w:r>
      <w:r>
        <w:br/>
      </w:r>
      <w:r>
        <w:tab/>
        <w:t>Нона Цоцориа (Nona Tsotsoria),</w:t>
      </w:r>
      <w:r>
        <w:br/>
      </w:r>
      <w:r>
        <w:tab/>
        <w:t>Пол Махоуни (Paul Mahoney),</w:t>
      </w:r>
      <w:r>
        <w:br/>
      </w:r>
      <w:r>
        <w:tab/>
        <w:t>Кшищоф Войтичек (Krzysztof Wojtyczek),</w:t>
      </w:r>
      <w:r>
        <w:rPr>
          <w:i/>
        </w:rPr>
        <w:t xml:space="preserve"> съдии,</w:t>
      </w:r>
      <w:r>
        <w:br/>
      </w:r>
      <w:r>
        <w:tab/>
        <w:t>Павлина Панова (Pavlina Panova),</w:t>
      </w:r>
      <w:r>
        <w:rPr>
          <w:i/>
        </w:rPr>
        <w:t xml:space="preserve"> </w:t>
      </w:r>
      <w:r>
        <w:t>ad hoc</w:t>
      </w:r>
      <w:r>
        <w:rPr>
          <w:i/>
        </w:rPr>
        <w:t xml:space="preserve"> съдия,</w:t>
      </w:r>
      <w:r>
        <w:br/>
        <w:t>и Франсоаз Елен-Пасо (Françoise Elens-Passos)</w:t>
      </w:r>
      <w:r>
        <w:rPr>
          <w:rStyle w:val="JuJudgesChar"/>
        </w:rPr>
        <w:t xml:space="preserve">, </w:t>
      </w:r>
      <w:r>
        <w:rPr>
          <w:i/>
        </w:rPr>
        <w:t>секретар на отделението,</w:t>
      </w:r>
    </w:p>
    <w:p w:rsidR="00845CAF" w:rsidRPr="0072278C" w:rsidRDefault="00845CAF" w:rsidP="00845CAF">
      <w:pPr>
        <w:pStyle w:val="ECHRPara"/>
      </w:pPr>
      <w:r>
        <w:t>След закрито заседание, проведено на 20 януари 2015 г.,</w:t>
      </w:r>
    </w:p>
    <w:p w:rsidR="00845CAF" w:rsidRPr="0072278C" w:rsidRDefault="00845CAF" w:rsidP="00845CAF">
      <w:pPr>
        <w:pStyle w:val="ECHRPara"/>
      </w:pPr>
      <w:r>
        <w:t>Постановява следното решение, прието на същата дата:</w:t>
      </w:r>
    </w:p>
    <w:p w:rsidR="00845CAF" w:rsidRPr="0072278C" w:rsidRDefault="00845CAF" w:rsidP="00845CAF">
      <w:pPr>
        <w:pStyle w:val="ECHRTitle1"/>
      </w:pPr>
      <w:r>
        <w:t>ПРОЦЕДУРА</w:t>
      </w:r>
    </w:p>
    <w:p w:rsidR="00845CAF" w:rsidRDefault="00684AA9" w:rsidP="00845CAF">
      <w:pPr>
        <w:pStyle w:val="ECHRPara"/>
      </w:pPr>
      <w:r>
        <w:fldChar w:fldCharType="begin"/>
      </w:r>
      <w:r w:rsidR="00845CAF">
        <w:instrText xml:space="preserve"> SEQ level0 \*arabic </w:instrText>
      </w:r>
      <w:r>
        <w:fldChar w:fldCharType="separate"/>
      </w:r>
      <w:r w:rsidR="00845CAF">
        <w:t>1</w:t>
      </w:r>
      <w:r>
        <w:fldChar w:fldCharType="end"/>
      </w:r>
      <w:r w:rsidR="00845CAF">
        <w:t>.  Делото е образувано по жалба (</w:t>
      </w:r>
      <w:r w:rsidR="00845CAF">
        <w:rPr>
          <w:cs/>
        </w:rPr>
        <w:t xml:space="preserve">№ </w:t>
      </w:r>
      <w:r w:rsidR="00845CAF">
        <w:t>15452/07) срещу Република България, подадена в Съда на основание чл. 34 от Конвенцията за защита на правата на човека и основните свободи ("Конвенцията") от български гражданин, г-жа Петя Атанасова Димитрова ("жалбоподателката), на 12 март 2007 г.</w:t>
      </w:r>
    </w:p>
    <w:p w:rsidR="00845CAF" w:rsidRPr="0072278C" w:rsidRDefault="00684AA9" w:rsidP="00845CAF">
      <w:pPr>
        <w:pStyle w:val="ECHRPara"/>
      </w:pPr>
      <w:r>
        <w:fldChar w:fldCharType="begin"/>
      </w:r>
      <w:r w:rsidR="00845CAF">
        <w:instrText xml:space="preserve"> SEQ level0 \*arabic </w:instrText>
      </w:r>
      <w:r>
        <w:fldChar w:fldCharType="separate"/>
      </w:r>
      <w:r w:rsidR="00845CAF">
        <w:t>2</w:t>
      </w:r>
      <w:r>
        <w:fldChar w:fldCharType="end"/>
      </w:r>
      <w:r w:rsidR="00845CAF">
        <w:t>.  Жалбоподателката е представлявана от г-н Р. Киска, адвокат, практикуващ във Виена. Българското правителство (</w:t>
      </w:r>
      <w:r w:rsidR="00845CAF">
        <w:rPr>
          <w:cs/>
        </w:rPr>
        <w:t>„</w:t>
      </w:r>
      <w:r w:rsidR="00845CAF">
        <w:t>Правителството</w:t>
      </w:r>
      <w:r w:rsidR="00845CAF">
        <w:rPr>
          <w:cs/>
        </w:rPr>
        <w:t>”</w:t>
      </w:r>
      <w:r w:rsidR="00845CAF">
        <w:t>) се представлява от правителствения агент г-жа К. Радкова, Министерство на правосъдието.</w:t>
      </w:r>
    </w:p>
    <w:p w:rsidR="00845CAF" w:rsidRPr="0072278C" w:rsidRDefault="00684AA9" w:rsidP="00845CAF">
      <w:pPr>
        <w:pStyle w:val="ECHRPara"/>
      </w:pPr>
      <w:r>
        <w:fldChar w:fldCharType="begin"/>
      </w:r>
      <w:r w:rsidR="00845CAF">
        <w:instrText xml:space="preserve"> SEQ level0 \*arabic </w:instrText>
      </w:r>
      <w:r>
        <w:fldChar w:fldCharType="separate"/>
      </w:r>
      <w:r w:rsidR="00845CAF">
        <w:t>3</w:t>
      </w:r>
      <w:r>
        <w:fldChar w:fldCharType="end"/>
      </w:r>
      <w:r w:rsidR="00845CAF">
        <w:t xml:space="preserve">.  Жалбоподателката се оплаква по чл. 8, 9 и 11 от Конвенцията, че мерките, предприети срещу нея от страна на полицията, </w:t>
      </w:r>
      <w:r w:rsidR="005A61A7">
        <w:t>са нарушил</w:t>
      </w:r>
      <w:r w:rsidR="00845CAF">
        <w:t>и правата ѝ на неприкосновеност на личния живот и свободата на религията и събранията; тя също се оплаква на основание чл. 13 от Конвенцията, че тя не е имала ефективни вътрешни правни средства за защита във връзка с оплакванията по-горе, и по чл. 6, § 1, че гражданското производство, по което тя е била страна, е било прекалено продължително.</w:t>
      </w:r>
    </w:p>
    <w:p w:rsidR="00845CAF" w:rsidRDefault="00684AA9" w:rsidP="00845CAF">
      <w:pPr>
        <w:pStyle w:val="ECHRPara"/>
      </w:pPr>
      <w:r>
        <w:fldChar w:fldCharType="begin"/>
      </w:r>
      <w:r w:rsidR="00845CAF">
        <w:instrText xml:space="preserve"> SEQ level0 \*arabic </w:instrText>
      </w:r>
      <w:r>
        <w:fldChar w:fldCharType="separate"/>
      </w:r>
      <w:r w:rsidR="00845CAF">
        <w:t>4</w:t>
      </w:r>
      <w:r>
        <w:fldChar w:fldCharType="end"/>
      </w:r>
      <w:r w:rsidR="00845CAF">
        <w:t>.  На 6 май 2013 г. Правителството</w:t>
      </w:r>
      <w:r w:rsidR="005A61A7">
        <w:t xml:space="preserve"> е уведомено за жалбата</w:t>
      </w:r>
      <w:r w:rsidR="00845CAF">
        <w:t>.</w:t>
      </w:r>
    </w:p>
    <w:p w:rsidR="00845CAF" w:rsidRDefault="00684AA9" w:rsidP="00845CAF">
      <w:pPr>
        <w:pStyle w:val="ECHRPara"/>
      </w:pPr>
      <w:r>
        <w:fldChar w:fldCharType="begin"/>
      </w:r>
      <w:r w:rsidR="00845CAF">
        <w:instrText xml:space="preserve"> SEQ level0 \*arabic </w:instrText>
      </w:r>
      <w:r>
        <w:fldChar w:fldCharType="separate"/>
      </w:r>
      <w:r w:rsidR="00845CAF">
        <w:t>5</w:t>
      </w:r>
      <w:r>
        <w:fldChar w:fldCharType="end"/>
      </w:r>
      <w:r w:rsidR="00845CAF">
        <w:t xml:space="preserve">.  Г-жа Здравка Калайджиева, съдията, избран от името на България, се оттегли от Камарата (чл. 28). Правителството съответно назначи г-жа Павлина Панова да заседава като </w:t>
      </w:r>
      <w:r w:rsidR="00845CAF">
        <w:rPr>
          <w:i/>
        </w:rPr>
        <w:t>ad hoc</w:t>
      </w:r>
      <w:r w:rsidR="00845CAF">
        <w:t xml:space="preserve"> съдия (чл. 26, § 4 от Конвенцията и правило 29).</w:t>
      </w:r>
    </w:p>
    <w:p w:rsidR="00845CAF" w:rsidRPr="0072278C" w:rsidRDefault="00845CAF" w:rsidP="00845CAF">
      <w:pPr>
        <w:pStyle w:val="ECHRPara"/>
      </w:pPr>
    </w:p>
    <w:p w:rsidR="00845CAF" w:rsidRPr="0072278C" w:rsidRDefault="00845CAF" w:rsidP="00845CAF">
      <w:pPr>
        <w:pStyle w:val="ECHRTitle1"/>
      </w:pPr>
      <w:r>
        <w:lastRenderedPageBreak/>
        <w:t>ФАКТИТЕ</w:t>
      </w:r>
    </w:p>
    <w:p w:rsidR="00845CAF" w:rsidRPr="0072278C" w:rsidRDefault="00845CAF" w:rsidP="00845CAF">
      <w:pPr>
        <w:pStyle w:val="ECHRHeading2"/>
      </w:pPr>
      <w:r>
        <w:t>А.  Обстоятелства по делото</w:t>
      </w:r>
    </w:p>
    <w:p w:rsidR="00845CAF" w:rsidRPr="0072278C" w:rsidRDefault="00845CAF" w:rsidP="00845CAF">
      <w:pPr>
        <w:pStyle w:val="ECHRHeading3"/>
      </w:pPr>
      <w:r>
        <w:t>1.  Правният статут на "Слово на живот" в България през 1994/1995 г.</w:t>
      </w:r>
    </w:p>
    <w:p w:rsidR="00845CAF" w:rsidRPr="0072278C" w:rsidRDefault="00684AA9" w:rsidP="00845CAF">
      <w:pPr>
        <w:pStyle w:val="ECHRPara"/>
      </w:pPr>
      <w:r>
        <w:fldChar w:fldCharType="begin"/>
      </w:r>
      <w:r w:rsidR="00845CAF">
        <w:instrText xml:space="preserve"> SEQ level0 \*arabic </w:instrText>
      </w:r>
      <w:r>
        <w:fldChar w:fldCharType="separate"/>
      </w:r>
      <w:r w:rsidR="00845CAF">
        <w:t>6</w:t>
      </w:r>
      <w:r>
        <w:fldChar w:fldCharType="end"/>
      </w:r>
      <w:r w:rsidR="00845CAF">
        <w:t>.  "Слово на живот" е международна религиозна организация, базирана в Упсала, Швеция. В началото на 1990 г. три организации с нестопанска цел, свързани със "Слово на живот" са регистрирани от Софийски градски съд по реда на Закона за лицата и семейството, и една от тези организации открива център за изучаване на Библията в София. Въпреки това, на 1 април 1994 г. Върховният съд отменя решението на Софийски градски съд за регистрация на трите организации на основание, че те не са подали необходимите заявления за подновяване на регистрацията им в рамките на тримесечния срок, който е бил въведен на 18 февруари 1994 г. след изменението на Закона за лицата и семейството. След решението на Върховния съд, трите организации, свързани със "Слово на живот", са заличени от регистъра на организациите с нестопанска цел. Освен това организациите не са били регистрирани по реда на Закона за вероизповеданията и центъра за изучаване на Библията не е бил регистриран към Министерството на образованието. Следователно "Слово на живот" не е имала правен статут в България към момента на въпросните събития.</w:t>
      </w:r>
    </w:p>
    <w:p w:rsidR="00845CAF" w:rsidRDefault="00684AA9" w:rsidP="00845CAF">
      <w:pPr>
        <w:pStyle w:val="ECHRPara"/>
      </w:pPr>
      <w:r>
        <w:fldChar w:fldCharType="begin"/>
      </w:r>
      <w:r w:rsidR="00845CAF">
        <w:instrText xml:space="preserve"> SEQ level0 \*arabic </w:instrText>
      </w:r>
      <w:r>
        <w:fldChar w:fldCharType="separate"/>
      </w:r>
      <w:r w:rsidR="00845CAF">
        <w:t>7</w:t>
      </w:r>
      <w:r>
        <w:fldChar w:fldCharType="end"/>
      </w:r>
      <w:r w:rsidR="00845CAF">
        <w:t>.  На неизвестна дата през 1994 г. в канцеларията на Софийския градски прокурор е подадена жалба от Дирекцията по ве</w:t>
      </w:r>
      <w:r w:rsidR="00093CC8">
        <w:t>роизповеданията към Министерски</w:t>
      </w:r>
      <w:r w:rsidR="00845CAF">
        <w:t xml:space="preserve"> съвет, изразяваща опасения относно дейността на "Слово на живот" в България. На 13 май 1994 г., след като е извършила разследване, прокуратурата </w:t>
      </w:r>
      <w:r w:rsidR="0079566F">
        <w:t>приема постановление</w:t>
      </w:r>
      <w:r w:rsidR="00845CAF">
        <w:t xml:space="preserve">, в което се посочва, че "сектата" има влияние върху нейните последователи, което увеличава риска от самоубийство и други психологически проблеми. Членството може да доведе до скъсването на семейни и социални връзки с по-широката общественост; на последователите е забранено гледане на телевизия или четене на литература, различна от Библията, подлагане на всякаква форма на хирургическа интервенция. В заключение, прокурорът решава да разпореди ограничение на правото на членовете на трите организации, свързани със "Слово на живот", на събрания за популяризиране на техните убеждения и продължаване на работата на центъра за изучаване на Библията. Позовавайки се на чл. 185 от Наказателно-процесуалния кодекс от 1974 г. ("НПК от 1974 г."), който позволява на прокурора да вземе всички необходими мерки за предотвратяване извършването на престъпление, когато има </w:t>
      </w:r>
      <w:r w:rsidR="00845CAF">
        <w:lastRenderedPageBreak/>
        <w:t>подозрения, че може да бъде извършено</w:t>
      </w:r>
      <w:r w:rsidR="00DD237C">
        <w:t xml:space="preserve"> криминално деяние</w:t>
      </w:r>
      <w:r w:rsidR="00845CAF">
        <w:t>, прокурорът нарежда на полицията да вземе мерки, за да ограничи достъпа на организацията до места, където би могла да пр</w:t>
      </w:r>
      <w:r w:rsidR="00093CC8">
        <w:t xml:space="preserve">овежда срещи и да проповядва </w:t>
      </w:r>
      <w:r w:rsidR="00845CAF">
        <w:t xml:space="preserve">своите вярвания и убеждения. След обжалване от страна на членовете на общността, горното </w:t>
      </w:r>
      <w:r w:rsidR="00015CF1">
        <w:t xml:space="preserve">постановление </w:t>
      </w:r>
      <w:r w:rsidR="00845CAF">
        <w:t>е потвърдено от по-висшестоящ прокурор.</w:t>
      </w:r>
    </w:p>
    <w:p w:rsidR="00845CAF" w:rsidRPr="0072278C" w:rsidRDefault="00845CAF" w:rsidP="00845CAF">
      <w:pPr>
        <w:pStyle w:val="ECHRHeading3"/>
      </w:pPr>
      <w:r>
        <w:t>2.  Действия, предприети от властите срещу жалбоподателката</w:t>
      </w:r>
    </w:p>
    <w:p w:rsidR="00845CAF" w:rsidRPr="0072278C" w:rsidRDefault="00684AA9" w:rsidP="00845CAF">
      <w:pPr>
        <w:pStyle w:val="ECHRPara"/>
      </w:pPr>
      <w:r>
        <w:fldChar w:fldCharType="begin"/>
      </w:r>
      <w:r w:rsidR="00845CAF">
        <w:instrText xml:space="preserve"> SEQ level0 \*arabic </w:instrText>
      </w:r>
      <w:r>
        <w:fldChar w:fldCharType="separate"/>
      </w:r>
      <w:r w:rsidR="00845CAF">
        <w:t>8</w:t>
      </w:r>
      <w:r>
        <w:fldChar w:fldCharType="end"/>
      </w:r>
      <w:r w:rsidR="00845CAF">
        <w:t xml:space="preserve">.  През цялото относимо време жалбоподателката е член на "Слово на живот". След </w:t>
      </w:r>
      <w:r w:rsidR="006E66B0">
        <w:t xml:space="preserve">постановлението </w:t>
      </w:r>
      <w:r w:rsidR="00845CAF">
        <w:t xml:space="preserve">на прокурора от 13 май 1994 г., групи от  членове на "Слово на живот" организират срещи в частни домове, включително и този на жалбоподателката. На 8 септември 1995 г. прокурор издава разрешение за претърсване на апартамента на жалбоподателката. На 27 септември 1995 г. жалбоподателката е призована и разпитана от полицията във връзка с религиозните ѝ убеждения и със срещите на членовете на "Слово на живот" в дома ѝ. След това </w:t>
      </w:r>
      <w:r w:rsidR="00055A01">
        <w:t xml:space="preserve">полицаи </w:t>
      </w:r>
      <w:r w:rsidR="00845CAF">
        <w:t>придружава</w:t>
      </w:r>
      <w:r w:rsidR="00055A01">
        <w:t>т</w:t>
      </w:r>
      <w:r w:rsidR="00845CAF">
        <w:t xml:space="preserve"> жалбоподателката до апартамента ѝ и го претърсва</w:t>
      </w:r>
      <w:r w:rsidR="00055A01">
        <w:t>т</w:t>
      </w:r>
      <w:r w:rsidR="00845CAF">
        <w:t>. Т</w:t>
      </w:r>
      <w:r w:rsidR="00055A01">
        <w:t>е</w:t>
      </w:r>
      <w:r w:rsidR="00845CAF">
        <w:t xml:space="preserve"> иззема</w:t>
      </w:r>
      <w:r w:rsidR="00055A01">
        <w:t>т</w:t>
      </w:r>
      <w:r w:rsidR="00845CAF">
        <w:t xml:space="preserve"> редица предмети, включително аудиокасети с религиозно съдържание, тетрадки с проповеди, брошури, книги, списания и видеокасети.</w:t>
      </w:r>
    </w:p>
    <w:p w:rsidR="00845CAF" w:rsidRPr="0072278C" w:rsidRDefault="00684AA9" w:rsidP="00845CAF">
      <w:pPr>
        <w:pStyle w:val="ECHRPara"/>
      </w:pPr>
      <w:r>
        <w:fldChar w:fldCharType="begin"/>
      </w:r>
      <w:r w:rsidR="00845CAF">
        <w:instrText xml:space="preserve"> SEQ level0 \*arabic </w:instrText>
      </w:r>
      <w:r>
        <w:fldChar w:fldCharType="separate"/>
      </w:r>
      <w:r w:rsidR="00845CAF">
        <w:t>9</w:t>
      </w:r>
      <w:r>
        <w:fldChar w:fldCharType="end"/>
      </w:r>
      <w:r w:rsidR="00845CAF">
        <w:t xml:space="preserve">.  След претърсването полицията издава протокол за предупреждение по реда на Закона за народната просвета, даващ указания на жалбоподателката да не приема по-нататъшни срещи на членове на религиозната общност. Заповедта се позовава също на </w:t>
      </w:r>
      <w:r w:rsidR="00F74553">
        <w:t xml:space="preserve">прокурорското постановление </w:t>
      </w:r>
      <w:r w:rsidR="00845CAF">
        <w:t>от 13 май 1994 г.</w:t>
      </w:r>
    </w:p>
    <w:p w:rsidR="00845CAF" w:rsidRPr="0072278C" w:rsidRDefault="00845CAF" w:rsidP="00845CAF">
      <w:pPr>
        <w:pStyle w:val="ECHRHeading3"/>
      </w:pPr>
      <w:r>
        <w:t>3.  Гражданско производство</w:t>
      </w:r>
    </w:p>
    <w:p w:rsidR="00845CAF" w:rsidRDefault="00684AA9" w:rsidP="00845CAF">
      <w:pPr>
        <w:pStyle w:val="ECHRPara"/>
      </w:pPr>
      <w:r>
        <w:fldChar w:fldCharType="begin"/>
      </w:r>
      <w:r w:rsidR="00845CAF">
        <w:instrText xml:space="preserve"> SEQ level0 \*arabic </w:instrText>
      </w:r>
      <w:r>
        <w:fldChar w:fldCharType="separate"/>
      </w:r>
      <w:r w:rsidR="00845CAF">
        <w:t>10</w:t>
      </w:r>
      <w:r>
        <w:fldChar w:fldCharType="end"/>
      </w:r>
      <w:r w:rsidR="00845CAF">
        <w:t xml:space="preserve">.  На 1 декември 1995 г. жалбоподателката подава жалба срещу софийската полиция, искаща връщане на нейните вещи и изплащане на обезщетение по Закона за отговорността на държавата и общините за вреди от 1988 г. ("ЗОДОВ от 1988 г."), по отношение на посочените по-горе мерки, за които тя претендира, че са нарушили право ѝ на свобода на </w:t>
      </w:r>
      <w:r w:rsidR="00EE0A28">
        <w:t xml:space="preserve">вероизповеданието </w:t>
      </w:r>
      <w:r w:rsidR="00845CAF">
        <w:t>и свободата на събранията.</w:t>
      </w:r>
    </w:p>
    <w:p w:rsidR="00845CAF" w:rsidRPr="0072278C" w:rsidRDefault="00684AA9" w:rsidP="00845CAF">
      <w:pPr>
        <w:pStyle w:val="ECHRPara"/>
      </w:pPr>
      <w:r>
        <w:fldChar w:fldCharType="begin"/>
      </w:r>
      <w:r w:rsidR="00845CAF">
        <w:instrText xml:space="preserve"> SEQ level0 \*arabic </w:instrText>
      </w:r>
      <w:r>
        <w:fldChar w:fldCharType="separate"/>
      </w:r>
      <w:r w:rsidR="00845CAF">
        <w:t>11</w:t>
      </w:r>
      <w:r>
        <w:fldChar w:fldCharType="end"/>
      </w:r>
      <w:r w:rsidR="00845CAF">
        <w:t xml:space="preserve">.  С решение от 28 февруари 1998 г. </w:t>
      </w:r>
      <w:r w:rsidR="00093CC8">
        <w:t>Софийски</w:t>
      </w:r>
      <w:r w:rsidR="00845CAF">
        <w:t xml:space="preserve"> районен съд частично допуска жалбата, като установява, че разпитът на жалбоподателката от страна на полицията и протокола за предупреждение са били законосъобразни, но че претърсването и изземването са били незаконосъобразни, тъй като те не са били предприети в рамките на каквото и да било наказателно разследване и тъй като иззетите вещи не са били предназначени да бъдат използвани в наказателно производство. Правейки оценка по-скоро в рамките на общото делик</w:t>
      </w:r>
      <w:r w:rsidR="00093CC8">
        <w:t>а</w:t>
      </w:r>
      <w:r w:rsidR="00845CAF">
        <w:t xml:space="preserve">тно право, отколкото на ЗОДОВ от 1988 г., съдът присъжда на жалбоподателката </w:t>
      </w:r>
      <w:r w:rsidR="00093CC8">
        <w:t>25,</w:t>
      </w:r>
      <w:r w:rsidR="00845CAF">
        <w:t>000 български лева (</w:t>
      </w:r>
      <w:r w:rsidR="00093CC8">
        <w:t>равностойни</w:t>
      </w:r>
      <w:r w:rsidR="00845CAF">
        <w:t xml:space="preserve"> на </w:t>
      </w:r>
      <w:r w:rsidR="00845CAF">
        <w:lastRenderedPageBreak/>
        <w:t>около 13 евро по актуалните към момента валутни курсове) за обезщетение за вреди и нарежда предметите, иззети на 27 септември 1995 г., да бъдат върнати.</w:t>
      </w:r>
    </w:p>
    <w:p w:rsidR="00845CAF" w:rsidRPr="0072278C" w:rsidRDefault="00684AA9" w:rsidP="00845CAF">
      <w:pPr>
        <w:pStyle w:val="ECHRPara"/>
      </w:pPr>
      <w:r>
        <w:fldChar w:fldCharType="begin"/>
      </w:r>
      <w:r w:rsidR="00845CAF">
        <w:instrText xml:space="preserve"> SEQ level0 \*arabic </w:instrText>
      </w:r>
      <w:r>
        <w:fldChar w:fldCharType="separate"/>
      </w:r>
      <w:r w:rsidR="00845CAF">
        <w:t>12</w:t>
      </w:r>
      <w:r>
        <w:fldChar w:fldCharType="end"/>
      </w:r>
      <w:r w:rsidR="00845CAF">
        <w:t xml:space="preserve">.  При обжалвания на страните, на 29 юли 2002 г. </w:t>
      </w:r>
      <w:r w:rsidR="00093CC8">
        <w:t>Софийски</w:t>
      </w:r>
      <w:r w:rsidR="00845CAF">
        <w:t xml:space="preserve"> градски съд потвърждава решението на районния съд, доколкото то се отнася до нареждането към полицията да върне на жалбоподателката иззетите вещи. </w:t>
      </w:r>
      <w:r w:rsidR="00C061D3">
        <w:t>В останалата част т</w:t>
      </w:r>
      <w:r w:rsidR="00845CAF">
        <w:t>ой връща делото</w:t>
      </w:r>
      <w:r w:rsidR="00C061D3">
        <w:t>,</w:t>
      </w:r>
      <w:r w:rsidR="00845CAF">
        <w:t xml:space="preserve"> относно отговорността за вреди</w:t>
      </w:r>
      <w:r w:rsidR="00C061D3">
        <w:t>,</w:t>
      </w:r>
      <w:r w:rsidR="00845CAF">
        <w:t xml:space="preserve"> за ново разглеждане по реда на ЗОДОВ от 1988 г.</w:t>
      </w:r>
    </w:p>
    <w:p w:rsidR="00845CAF" w:rsidRPr="0072278C" w:rsidRDefault="00684AA9" w:rsidP="00845CAF">
      <w:pPr>
        <w:pStyle w:val="ECHRPara"/>
      </w:pPr>
      <w:r>
        <w:fldChar w:fldCharType="begin"/>
      </w:r>
      <w:r w:rsidR="00845CAF">
        <w:instrText xml:space="preserve"> SEQ level0 \*arabic </w:instrText>
      </w:r>
      <w:r>
        <w:fldChar w:fldCharType="separate"/>
      </w:r>
      <w:r w:rsidR="00845CAF">
        <w:t>13</w:t>
      </w:r>
      <w:r>
        <w:fldChar w:fldCharType="end"/>
      </w:r>
      <w:r w:rsidR="00845CAF">
        <w:t xml:space="preserve">.  След ново разглеждане на делото, на 8 февруари 2005 г. Софийският районен съд отхвърля иска за обезщетение за вреди. Той установява, че оспорваните действия на полицията не може да бъдат квалифицирани като административни актове, тъй като полицията е действала в съответствие с разпорежданията на органите на прокуратурата. </w:t>
      </w:r>
      <w:r w:rsidR="00093CC8">
        <w:t>Що се отнася до самите органи на</w:t>
      </w:r>
      <w:r w:rsidR="00845CAF">
        <w:t xml:space="preserve"> прокуратурата, </w:t>
      </w:r>
      <w:r w:rsidR="00093CC8">
        <w:t>те не могат да бъдат подведени</w:t>
      </w:r>
      <w:r w:rsidR="00845CAF">
        <w:t xml:space="preserve"> под отговорност по реда на ЗОДОВ от 1988 г. за</w:t>
      </w:r>
      <w:r w:rsidR="003C2AFF">
        <w:t xml:space="preserve"> този вид постановления.</w:t>
      </w:r>
      <w:r w:rsidR="00845CAF">
        <w:t xml:space="preserve"> </w:t>
      </w:r>
    </w:p>
    <w:p w:rsidR="00845CAF" w:rsidRPr="0072278C" w:rsidRDefault="00684AA9" w:rsidP="00845CAF">
      <w:pPr>
        <w:pStyle w:val="ECHRPara"/>
      </w:pPr>
      <w:r>
        <w:fldChar w:fldCharType="begin"/>
      </w:r>
      <w:r w:rsidR="00845CAF">
        <w:instrText xml:space="preserve"> SEQ level0 \*arabic </w:instrText>
      </w:r>
      <w:r>
        <w:fldChar w:fldCharType="separate"/>
      </w:r>
      <w:r w:rsidR="00845CAF">
        <w:t>14</w:t>
      </w:r>
      <w:r>
        <w:fldChar w:fldCharType="end"/>
      </w:r>
      <w:r w:rsidR="00845CAF">
        <w:t>.  След обжалване от страна на жалбоподателката, с окончателно решение от 2 октомври 2006 г. Софийски градски съд потвърждава констатациите на районния съд по ЗОДОВ от 1988 г. Софийски градски съд отбелязва, че прокуратурата е наредила мерките и че полицейските служители, които са участвали, само са подпомогнали органите на прокуратурата, както са задължени да направят по силата на чл. 185 от НПК от 1974 г.</w:t>
      </w:r>
    </w:p>
    <w:p w:rsidR="00845CAF" w:rsidRPr="0072278C" w:rsidRDefault="00845CAF" w:rsidP="00845CAF">
      <w:pPr>
        <w:pStyle w:val="ECHRHeading2"/>
      </w:pPr>
      <w:r>
        <w:t>Б. Приложимо вътрешно право и практика</w:t>
      </w:r>
    </w:p>
    <w:p w:rsidR="00845CAF" w:rsidRPr="0072278C" w:rsidRDefault="00684AA9" w:rsidP="00845CAF">
      <w:pPr>
        <w:pStyle w:val="ECHRPara"/>
        <w:rPr>
          <w:snapToGrid w:val="0"/>
        </w:rPr>
      </w:pPr>
      <w:r>
        <w:fldChar w:fldCharType="begin"/>
      </w:r>
      <w:r w:rsidR="00845CAF">
        <w:instrText xml:space="preserve"> SEQ level0 \*arabic </w:instrText>
      </w:r>
      <w:r>
        <w:fldChar w:fldCharType="separate"/>
      </w:r>
      <w:r w:rsidR="00845CAF">
        <w:t>15</w:t>
      </w:r>
      <w:r>
        <w:fldChar w:fldCharType="end"/>
      </w:r>
      <w:r w:rsidR="00845CAF">
        <w:t xml:space="preserve">.  Приложимото вътрешно право относно свободата на </w:t>
      </w:r>
      <w:r w:rsidR="001941E2">
        <w:t>вероизповедание</w:t>
      </w:r>
      <w:r w:rsidR="00845CAF">
        <w:t xml:space="preserve">, дейността на нерегистрирани религиозни организации, претърсванията и изземванията и </w:t>
      </w:r>
      <w:r w:rsidR="003E0ECF">
        <w:t xml:space="preserve">правомощията </w:t>
      </w:r>
      <w:r w:rsidR="00845CAF">
        <w:t xml:space="preserve">на прокуратурата да разпорежда мерки за предотвратяване на престъпления е обобщено в решението на Съда по </w:t>
      </w:r>
      <w:r w:rsidR="00845CAF">
        <w:rPr>
          <w:i/>
        </w:rPr>
        <w:t>Бойчев и други срещу България</w:t>
      </w:r>
      <w:r w:rsidR="00845CAF">
        <w:t xml:space="preserve"> (</w:t>
      </w:r>
      <w:r w:rsidR="00845CAF">
        <w:rPr>
          <w:cs/>
        </w:rPr>
        <w:t xml:space="preserve">№ </w:t>
      </w:r>
      <w:r w:rsidR="00845CAF">
        <w:t>77185/01, §§ 25-26 и 31-38, 27 януари 2011 г.).</w:t>
      </w:r>
    </w:p>
    <w:p w:rsidR="00845CAF" w:rsidRPr="0072278C" w:rsidRDefault="00684AA9" w:rsidP="00845CAF">
      <w:pPr>
        <w:pStyle w:val="ECHRPara"/>
        <w:rPr>
          <w:szCs w:val="24"/>
        </w:rPr>
      </w:pPr>
      <w:r>
        <w:fldChar w:fldCharType="begin"/>
      </w:r>
      <w:r w:rsidR="00845CAF">
        <w:instrText xml:space="preserve"> SEQ level0 \*arabic </w:instrText>
      </w:r>
      <w:r>
        <w:fldChar w:fldCharType="separate"/>
      </w:r>
      <w:r w:rsidR="00845CAF">
        <w:t>16</w:t>
      </w:r>
      <w:r>
        <w:fldChar w:fldCharType="end"/>
      </w:r>
      <w:r w:rsidR="00845CAF">
        <w:t xml:space="preserve">.  Приложимите разпоредби на ЗОДОВ от 1988 г. са изложени в </w:t>
      </w:r>
      <w:r w:rsidR="00845CAF">
        <w:rPr>
          <w:i/>
        </w:rPr>
        <w:t>Красимир Йорданов срещу България</w:t>
      </w:r>
      <w:r w:rsidR="00845CAF">
        <w:t xml:space="preserve">, </w:t>
      </w:r>
      <w:r w:rsidR="00845CAF">
        <w:rPr>
          <w:cs/>
        </w:rPr>
        <w:t xml:space="preserve">№ </w:t>
      </w:r>
      <w:r w:rsidR="00845CAF">
        <w:t>50899/99, §§ 25-26, 15 февруари 2007 г.</w:t>
      </w:r>
    </w:p>
    <w:p w:rsidR="00845CAF" w:rsidRPr="0072278C" w:rsidRDefault="00684AA9" w:rsidP="00845CAF">
      <w:pPr>
        <w:pStyle w:val="ECHRPara"/>
      </w:pPr>
      <w:r>
        <w:fldChar w:fldCharType="begin"/>
      </w:r>
      <w:r w:rsidR="00845CAF">
        <w:instrText xml:space="preserve"> SEQ level0 \*arabic </w:instrText>
      </w:r>
      <w:r>
        <w:fldChar w:fldCharType="separate"/>
      </w:r>
      <w:r w:rsidR="00845CAF">
        <w:t>17</w:t>
      </w:r>
      <w:r>
        <w:fldChar w:fldCharType="end"/>
      </w:r>
      <w:r w:rsidR="00845CAF">
        <w:t xml:space="preserve">.  Приложимото вътрешно право по отношение на средства за неоснователно дълго гражданско производство е изложено в </w:t>
      </w:r>
      <w:r w:rsidR="00845CAF">
        <w:rPr>
          <w:i/>
        </w:rPr>
        <w:t>Бал</w:t>
      </w:r>
      <w:r w:rsidR="00C61671">
        <w:rPr>
          <w:i/>
        </w:rPr>
        <w:t>ъ</w:t>
      </w:r>
      <w:r w:rsidR="00845CAF">
        <w:rPr>
          <w:i/>
        </w:rPr>
        <w:t xml:space="preserve">кчиев и други срещу България </w:t>
      </w:r>
      <w:r w:rsidR="00845CAF">
        <w:t xml:space="preserve">(решение за допустимост), </w:t>
      </w:r>
      <w:r w:rsidR="00845CAF">
        <w:rPr>
          <w:cs/>
        </w:rPr>
        <w:t>№</w:t>
      </w:r>
      <w:r w:rsidR="00845CAF">
        <w:t> 65187/10, 18 юни 2013 г.</w:t>
      </w:r>
    </w:p>
    <w:p w:rsidR="00845CAF" w:rsidRPr="00644298" w:rsidRDefault="00845CAF" w:rsidP="00845CAF">
      <w:pPr>
        <w:pStyle w:val="ECHRTitle1"/>
      </w:pPr>
      <w:r>
        <w:lastRenderedPageBreak/>
        <w:t>ЗАКОНЪТ</w:t>
      </w:r>
    </w:p>
    <w:p w:rsidR="00845CAF" w:rsidRPr="0072278C" w:rsidRDefault="00845CAF" w:rsidP="00845CAF">
      <w:pPr>
        <w:pStyle w:val="ECHRHeading1"/>
      </w:pPr>
      <w:r>
        <w:t>I. ТВЪРДЯНО НАРУШЕНЕ НА ЧЛ. 6 § 1 ОТ КОНВЕНЦИЯТА</w:t>
      </w:r>
    </w:p>
    <w:p w:rsidR="00845CAF" w:rsidRPr="0072278C" w:rsidRDefault="00684AA9" w:rsidP="00845CAF">
      <w:pPr>
        <w:pStyle w:val="ECHRPara"/>
      </w:pPr>
      <w:r>
        <w:fldChar w:fldCharType="begin"/>
      </w:r>
      <w:r w:rsidR="00845CAF">
        <w:instrText xml:space="preserve"> SEQ level0 \*arabic </w:instrText>
      </w:r>
      <w:r>
        <w:fldChar w:fldCharType="separate"/>
      </w:r>
      <w:r w:rsidR="00845CAF">
        <w:t>18</w:t>
      </w:r>
      <w:r>
        <w:fldChar w:fldCharType="end"/>
      </w:r>
      <w:r w:rsidR="00845CAF">
        <w:t>.  Жалбоподателката се оплаква, че гражданското производство, заведено от нея срещу СДВР, не е приключено в рамките на разумен период от време, както се изисква по чл. 6 § 1 от Конвенцията, който гласи следното:</w:t>
      </w:r>
    </w:p>
    <w:p w:rsidR="00845CAF" w:rsidRPr="0072278C" w:rsidRDefault="00845CAF">
      <w:pPr>
        <w:pStyle w:val="ECHRParaQuote"/>
      </w:pPr>
      <w:r>
        <w:t>"Всяко лице, при решаването на правен спор относно неговите граждански права и задължения..., има право на ... гледане... в разумен срок, от ... съд ..."</w:t>
      </w:r>
    </w:p>
    <w:p w:rsidR="00845CAF" w:rsidRPr="0072278C" w:rsidRDefault="00684AA9" w:rsidP="00845CAF">
      <w:pPr>
        <w:pStyle w:val="ECHRPara"/>
      </w:pPr>
      <w:r>
        <w:fldChar w:fldCharType="begin"/>
      </w:r>
      <w:r w:rsidR="00845CAF">
        <w:instrText xml:space="preserve"> SEQ level0 \*arabic </w:instrText>
      </w:r>
      <w:r>
        <w:fldChar w:fldCharType="separate"/>
      </w:r>
      <w:r w:rsidR="00845CAF">
        <w:t>19</w:t>
      </w:r>
      <w:r>
        <w:fldChar w:fldCharType="end"/>
      </w:r>
      <w:r w:rsidR="00845CAF">
        <w:t xml:space="preserve">.  Правителството твърди, че оплакването по чл. 6 § 1 е недопустимо на основание неизчерпване на вътрешните правни средства за защита. Съдът в </w:t>
      </w:r>
      <w:r w:rsidR="00845CAF">
        <w:rPr>
          <w:i/>
        </w:rPr>
        <w:t>Бал</w:t>
      </w:r>
      <w:r w:rsidR="00C61671">
        <w:rPr>
          <w:i/>
        </w:rPr>
        <w:t>ъ</w:t>
      </w:r>
      <w:r w:rsidR="00845CAF">
        <w:rPr>
          <w:i/>
        </w:rPr>
        <w:t>кчиев и други срещу България</w:t>
      </w:r>
      <w:r w:rsidR="00845CAF">
        <w:t xml:space="preserve"> (решение за допустимост), </w:t>
      </w:r>
      <w:r w:rsidR="00845CAF">
        <w:rPr>
          <w:cs/>
        </w:rPr>
        <w:t xml:space="preserve">№ </w:t>
      </w:r>
      <w:r w:rsidR="00845CAF">
        <w:t xml:space="preserve">65187/10, 18 юни 2013 г., решава, че вътрешното правно средство за защита, въведено от Правителството по отношение на </w:t>
      </w:r>
      <w:r w:rsidR="00C77744">
        <w:t xml:space="preserve">необосновано </w:t>
      </w:r>
      <w:r w:rsidR="00845CAF">
        <w:t>дълго гражданско производство, е ефективно и достъпно. Правителството посочва, че средството за защита, създадено от нововъведените разпоредби в Закона за съдебната власт от 2007 г., е предвидено да работи със задна дата, така че лицата, които вече са подали жалба до този Съд, но все още не са получили решение относно допустимостта на жалбите си, биха могли да се възползват от него. Жалбоподателката по настоящото дело по същия начин може да подаде жалба до националния орган за обезщетение за твърдяната прекомерна продължителност на производството по нейното дело.</w:t>
      </w:r>
    </w:p>
    <w:p w:rsidR="00845CAF" w:rsidRPr="0072278C" w:rsidRDefault="00684AA9" w:rsidP="00845CAF">
      <w:pPr>
        <w:pStyle w:val="ECHRPara"/>
      </w:pPr>
      <w:r>
        <w:fldChar w:fldCharType="begin"/>
      </w:r>
      <w:r w:rsidR="00845CAF">
        <w:instrText xml:space="preserve"> SEQ level0 \*arabic </w:instrText>
      </w:r>
      <w:r>
        <w:fldChar w:fldCharType="separate"/>
      </w:r>
      <w:r w:rsidR="00845CAF">
        <w:t>20</w:t>
      </w:r>
      <w:r>
        <w:fldChar w:fldCharType="end"/>
      </w:r>
      <w:r w:rsidR="00845CAF">
        <w:t>.  Жалбоподателката подчертава, че закъснение от дванадесет години в завършването на производството представлява грубо нарушение на правото на гледане на дело в разумен срок. Според нея измененията и допълненията на Закона за съдебната власт, обнародвани в ДВ, бр. 50 от 2012 г., не предоставят средства за защита, които трябва да бъдат изчерпани, в светлината на факта, че жалбата ѝ е подадена през 2007 г., пет пълни години преди обнародването на новите мерки. Да се отдели оплакването по чл. 6 § 1 от останалата част от жалбата</w:t>
      </w:r>
      <w:r w:rsidR="00DE3CBD">
        <w:t>,</w:t>
      </w:r>
      <w:r w:rsidR="00845CAF">
        <w:t xml:space="preserve"> </w:t>
      </w:r>
      <w:r w:rsidR="00DE3CBD">
        <w:t xml:space="preserve"> би</w:t>
      </w:r>
      <w:r w:rsidR="00845CAF">
        <w:t xml:space="preserve"> </w:t>
      </w:r>
      <w:r w:rsidR="00DE3CBD">
        <w:t xml:space="preserve"> било </w:t>
      </w:r>
      <w:r w:rsidR="00845CAF">
        <w:t>както съдебно неефективно, така и жестоко и необичайно, като се има предвид вече прекомерн</w:t>
      </w:r>
      <w:r w:rsidR="006D3E5B">
        <w:t>ата</w:t>
      </w:r>
      <w:r w:rsidR="00845CAF">
        <w:t xml:space="preserve"> </w:t>
      </w:r>
      <w:r w:rsidR="006D3E5B">
        <w:t>продължителност на</w:t>
      </w:r>
      <w:r w:rsidR="00845CAF">
        <w:t xml:space="preserve"> събитията от 1994 г.</w:t>
      </w:r>
    </w:p>
    <w:p w:rsidR="00845CAF" w:rsidRPr="0072278C" w:rsidRDefault="00684AA9" w:rsidP="00845CAF">
      <w:pPr>
        <w:pStyle w:val="ECHRPara"/>
      </w:pPr>
      <w:r>
        <w:fldChar w:fldCharType="begin"/>
      </w:r>
      <w:r w:rsidR="00845CAF">
        <w:instrText xml:space="preserve"> SEQ level0 \*arabic </w:instrText>
      </w:r>
      <w:r>
        <w:fldChar w:fldCharType="separate"/>
      </w:r>
      <w:r w:rsidR="00845CAF">
        <w:t>21</w:t>
      </w:r>
      <w:r>
        <w:fldChar w:fldCharType="end"/>
      </w:r>
      <w:r w:rsidR="00845CAF">
        <w:t xml:space="preserve">.  Съдът припомня, че в </w:t>
      </w:r>
      <w:r w:rsidR="00845CAF">
        <w:rPr>
          <w:i/>
        </w:rPr>
        <w:t>Бал</w:t>
      </w:r>
      <w:r w:rsidR="00BA59F3">
        <w:rPr>
          <w:i/>
        </w:rPr>
        <w:t>ъ</w:t>
      </w:r>
      <w:r w:rsidR="00845CAF">
        <w:rPr>
          <w:i/>
        </w:rPr>
        <w:t>кчиев</w:t>
      </w:r>
      <w:r w:rsidR="00845CAF">
        <w:t>, цитирано по-горе, той приема, че средството за защита, създадено от чл. 60а и следващите</w:t>
      </w:r>
      <w:r w:rsidR="00F35636">
        <w:t xml:space="preserve"> </w:t>
      </w:r>
      <w:r w:rsidR="00845CAF">
        <w:t xml:space="preserve"> от Закона за съдебната власт от 2007 г., може да се разглежда като ефективно вътрешно правно средство за защита по отношение на оплаквания за </w:t>
      </w:r>
      <w:r w:rsidR="00BA59F3">
        <w:t xml:space="preserve">необоснована </w:t>
      </w:r>
      <w:r w:rsidR="00845CAF">
        <w:t xml:space="preserve">продължителност на производство пред гражданските и административните съдилища в България. По-конкретно Съдът постановява, че средството за защитата предвижда действие със задна </w:t>
      </w:r>
      <w:r w:rsidR="00845CAF">
        <w:lastRenderedPageBreak/>
        <w:t xml:space="preserve">дата, за да позволи на лицата, които вече са подали жалби пред Съда, да търсят обезщетение от национален орган, с шестмесечен срок, който тече от датата, когато жалбоподателят е уведомен, че неговата жалба до Съда на основание чл. 6 § 1 от Конвенцията е обявена за недопустима поради неизчерпване на вътрешните правни средства за защита. Освен това Съдът приема, че от жалбоподателите по </w:t>
      </w:r>
      <w:r w:rsidR="00845CAF">
        <w:rPr>
          <w:i/>
        </w:rPr>
        <w:t>Бал</w:t>
      </w:r>
      <w:r w:rsidR="00067C85">
        <w:rPr>
          <w:i/>
        </w:rPr>
        <w:t>ъ</w:t>
      </w:r>
      <w:r w:rsidR="00845CAF">
        <w:rPr>
          <w:i/>
        </w:rPr>
        <w:t>кчиев</w:t>
      </w:r>
      <w:r w:rsidR="00845CAF">
        <w:t xml:space="preserve"> следва да се изисква да се възползват от новото вътрешно правно средство за защита, въпреки факта, че техните жалби са подадена до Съда преди създаването му (вижте </w:t>
      </w:r>
      <w:r w:rsidR="00067C85">
        <w:rPr>
          <w:i/>
        </w:rPr>
        <w:t>Балъкчиев</w:t>
      </w:r>
      <w:r w:rsidR="00845CAF">
        <w:t>, цитирано по-горе, §§ 78-85).</w:t>
      </w:r>
    </w:p>
    <w:p w:rsidR="00845CAF" w:rsidRDefault="00684AA9" w:rsidP="00845CAF">
      <w:pPr>
        <w:pStyle w:val="ECHRPara"/>
      </w:pPr>
      <w:r>
        <w:fldChar w:fldCharType="begin"/>
      </w:r>
      <w:r w:rsidR="00845CAF">
        <w:instrText xml:space="preserve"> SEQ level0 \*arabic </w:instrText>
      </w:r>
      <w:r>
        <w:fldChar w:fldCharType="separate"/>
      </w:r>
      <w:r w:rsidR="00845CAF">
        <w:t>22</w:t>
      </w:r>
      <w:r>
        <w:fldChar w:fldCharType="end"/>
      </w:r>
      <w:r w:rsidR="00845CAF">
        <w:t>.  Не са налице основания за предприемане на по-различен подход в конкретното дело. От това следва, че оплакването на жалбоподателката относно продължителността на производството трябва да бъде отхвърлено съгласно чл. 35 §§ 1 и 4 от Конвенцията като недопустимо поради неизчерпване на вътрешните правни средства за защита.</w:t>
      </w:r>
    </w:p>
    <w:p w:rsidR="00845CAF" w:rsidRPr="0072278C" w:rsidRDefault="00845CAF">
      <w:pPr>
        <w:pStyle w:val="ECHRHeading1"/>
      </w:pPr>
      <w:r>
        <w:t>II.  ТВЪРДЯНО НАРУШЕНИЕ НА ЧЛ. 9 ОТ КОНВЕНЦИЯТА</w:t>
      </w:r>
    </w:p>
    <w:p w:rsidR="00845CAF" w:rsidRPr="0072278C" w:rsidRDefault="00684AA9" w:rsidP="00845CAF">
      <w:pPr>
        <w:pStyle w:val="ECHRPara"/>
      </w:pPr>
      <w:r>
        <w:fldChar w:fldCharType="begin"/>
      </w:r>
      <w:r w:rsidR="00845CAF">
        <w:instrText xml:space="preserve"> SEQ level0 \*arabic </w:instrText>
      </w:r>
      <w:r>
        <w:fldChar w:fldCharType="separate"/>
      </w:r>
      <w:r w:rsidR="00845CAF">
        <w:t>23</w:t>
      </w:r>
      <w:r>
        <w:fldChar w:fldCharType="end"/>
      </w:r>
      <w:r w:rsidR="00845CAF">
        <w:t>.  Жалбоподателката се оплаква от нарушаване на правата ѝ по чл. 9 от Конвенцията, който гласи следното:</w:t>
      </w:r>
    </w:p>
    <w:p w:rsidR="00845CAF" w:rsidRPr="0072278C" w:rsidRDefault="00845CAF">
      <w:pPr>
        <w:pStyle w:val="ECHRParaQuote"/>
      </w:pPr>
      <w:r>
        <w:t>"1.  Βсеки има право на свобода на мисълта, съвестта и религията; това право включва свободата на всеки да променя своята религия или убеждения и свободата да изповядва своята религия или убеждения индивидуално или колективно, публично или в частен кръг, чрез богослужение, преподаване, практикуване и спазване на ритуали.</w:t>
      </w:r>
    </w:p>
    <w:p w:rsidR="00845CAF" w:rsidRPr="0072278C" w:rsidRDefault="00845CAF" w:rsidP="00845CAF">
      <w:pPr>
        <w:pStyle w:val="ECHRParaQuote"/>
      </w:pPr>
      <w:r>
        <w:t>2.  Свободата да се изповядват религията или убежденията подлежи само на такива ограничения, които са предвидени от закона и са необходими в едно демократично общество в интерес на обществената сигурност, за защитата на обществения ред, здравето и морала или за защитата на правата и свободите на другите."</w:t>
      </w:r>
    </w:p>
    <w:p w:rsidR="00845CAF" w:rsidRPr="0072278C" w:rsidRDefault="00684AA9" w:rsidP="00845CAF">
      <w:pPr>
        <w:pStyle w:val="ECHRPara"/>
      </w:pPr>
      <w:r>
        <w:fldChar w:fldCharType="begin"/>
      </w:r>
      <w:r w:rsidR="00845CAF">
        <w:instrText xml:space="preserve"> SEQ level0 \*arabic </w:instrText>
      </w:r>
      <w:r>
        <w:fldChar w:fldCharType="separate"/>
      </w:r>
      <w:r w:rsidR="00845CAF">
        <w:t>24</w:t>
      </w:r>
      <w:r>
        <w:fldChar w:fldCharType="end"/>
      </w:r>
      <w:r w:rsidR="00845CAF">
        <w:t xml:space="preserve">.  Правителството твърди, че за разлика от фактите, установени в </w:t>
      </w:r>
      <w:r w:rsidR="00845CAF">
        <w:rPr>
          <w:i/>
        </w:rPr>
        <w:t>Бойчев и други</w:t>
      </w:r>
      <w:r w:rsidR="00845CAF">
        <w:t xml:space="preserve">, цитирано по-горе, няма доказателства по настоящото дело в подкрепа на становището, че полицейската акция на 27 септември 1995 г. прекъсва религиозна среща. Както може да се види от призовката, изискваща жалбоподателката да се яви в полицейското управление, тя е била информирана за претърсването по-рано. Призовката е издадена по реда на Закона за народната просвета и постановлението </w:t>
      </w:r>
      <w:r w:rsidR="00845CAF">
        <w:rPr>
          <w:cs/>
        </w:rPr>
        <w:t xml:space="preserve">№ </w:t>
      </w:r>
      <w:r w:rsidR="00845CAF">
        <w:t xml:space="preserve">367/194 на Главната прокуратура (вижте параграф 8 по-горе) и е насочена към регулиране на образователните дейности. От това следва по мнението на Правителството, че не е имало намеса в правото на жалбоподателката на свобода на религията. В допълнение Правителството твърди, че законът в сила към момента на настъпване на фактите, позволяващ намеса в правата, предвидени в чл. 9, трябва </w:t>
      </w:r>
      <w:r w:rsidR="00845CAF">
        <w:lastRenderedPageBreak/>
        <w:t>да се оценява в контекста. В съответния момент са изтъкнати аргументи, които  предполагат, че последователите на "Слово на живот", особено на непълнолетните, са изложени на риск от изолация и по-ниски стандарти за защита в медицински, образователен и граждански план. Прокурорските органи са част от съдебната, а не от изпълнителната власт, и полицията предприема действия, разрешени от прокуратурата. Действията на полицията са добре обосновани и напълно в съответствие с решението на Върховния съд от 1 април 1994 г., отказващ регистрация на трите организации, свързани със "Слово на живот" (вижте параграф 6 по-горе). Нещо повече, липсата на регистрация като вероизповедание никога не е била пречка за нейните последователи да изповядват своята религия или да практикуват дейността си.</w:t>
      </w:r>
    </w:p>
    <w:p w:rsidR="00845CAF" w:rsidRPr="0072278C" w:rsidRDefault="00684AA9" w:rsidP="00845CAF">
      <w:pPr>
        <w:pStyle w:val="ECHRPara"/>
      </w:pPr>
      <w:r>
        <w:fldChar w:fldCharType="begin"/>
      </w:r>
      <w:r w:rsidR="00845CAF">
        <w:instrText xml:space="preserve"> SEQ level0 \*arabic </w:instrText>
      </w:r>
      <w:r>
        <w:fldChar w:fldCharType="separate"/>
      </w:r>
      <w:r w:rsidR="00845CAF">
        <w:t>25</w:t>
      </w:r>
      <w:r>
        <w:fldChar w:fldCharType="end"/>
      </w:r>
      <w:r w:rsidR="00845CAF">
        <w:t>.  Жалбоподателката се оплаква по чл. 9 от Конвенцията, че мерките, предприети срещу нея, а именно нейния разпит от полицията, претърсването и изземването и протокола за предупреждение, са накърнили правото ѝ да участва в богослужение колективно с единомислещи привърженици на Евангелската вяра в домашна среда. В допълнение, отказът на съдебна регистрация на нейната църква е направено в дух, на който липсва всякакво подобие на държавен неутралитет. На всички етапи, държавните органи са действали въз основа по-скоро на съдебни решения с дискриминационна стойност, отколкото на доказателства. Жалбоподателката счита, че мерките не са били предвидени от закона, тъй като те са били произволни и въз основа на правни разпоредби, които допускат неограничено право на преценка на изпълнителната власт. Накрая мерките не са необходими в едно демократично общество. Няма доказателства, че религиозните вярвания на членовете на църквата на жалбоподателката са отговорни за семейна раздяла, изолация и самоубийство. Действието на държавните органи не успява да зачете необходимостта от истински религиозен плурализъм, което е присъщо на понятието за демократично общество.</w:t>
      </w:r>
    </w:p>
    <w:p w:rsidR="00845CAF" w:rsidRPr="0072278C" w:rsidRDefault="00845CAF" w:rsidP="00845CAF">
      <w:pPr>
        <w:pStyle w:val="ECHRHeading2"/>
      </w:pPr>
      <w:r>
        <w:t>A.  Допустимост</w:t>
      </w:r>
    </w:p>
    <w:p w:rsidR="00845CAF" w:rsidRPr="0072278C" w:rsidRDefault="00684AA9" w:rsidP="00845CAF">
      <w:pPr>
        <w:pStyle w:val="ECHRPara"/>
      </w:pPr>
      <w:r>
        <w:fldChar w:fldCharType="begin"/>
      </w:r>
      <w:r w:rsidR="00845CAF">
        <w:instrText xml:space="preserve"> SEQ level0 \*arabic </w:instrText>
      </w:r>
      <w:r>
        <w:fldChar w:fldCharType="separate"/>
      </w:r>
      <w:r w:rsidR="00845CAF">
        <w:t>26</w:t>
      </w:r>
      <w:r>
        <w:fldChar w:fldCharType="end"/>
      </w:r>
      <w:r w:rsidR="00845CAF">
        <w:t>.  Съдът смята, че оплакването не е явно необосновано по смисъла на чл. 35 § 3 от Конвенцията. Той отбелязва още, че то не е недопустимо на други основания. Следователно то трябва да бъде обявено за допустимо.</w:t>
      </w:r>
    </w:p>
    <w:p w:rsidR="00845CAF" w:rsidRPr="0072278C" w:rsidRDefault="00845CAF" w:rsidP="00845CAF">
      <w:pPr>
        <w:pStyle w:val="ECHRHeading2"/>
      </w:pPr>
      <w:r>
        <w:t>Б. Основателност</w:t>
      </w:r>
    </w:p>
    <w:p w:rsidR="00845CAF" w:rsidRPr="0072278C" w:rsidRDefault="00684AA9" w:rsidP="00845CAF">
      <w:pPr>
        <w:pStyle w:val="ECHRPara"/>
      </w:pPr>
      <w:r>
        <w:fldChar w:fldCharType="begin"/>
      </w:r>
      <w:r w:rsidR="00845CAF">
        <w:instrText xml:space="preserve"> SEQ level0 \*arabic </w:instrText>
      </w:r>
      <w:r>
        <w:fldChar w:fldCharType="separate"/>
      </w:r>
      <w:r w:rsidR="00845CAF">
        <w:t>27</w:t>
      </w:r>
      <w:r>
        <w:fldChar w:fldCharType="end"/>
      </w:r>
      <w:r w:rsidR="00845CAF">
        <w:t xml:space="preserve">.  Общите принципи, отнасящи се до правото на изповядване на религия, защитено от чл. 9 от Конвенцията, наскоро са изложени в </w:t>
      </w:r>
      <w:r w:rsidR="00845CAF">
        <w:rPr>
          <w:i/>
        </w:rPr>
        <w:lastRenderedPageBreak/>
        <w:t>Eweida and Others v. the United Kingdom</w:t>
      </w:r>
      <w:r w:rsidR="00845CAF">
        <w:t xml:space="preserve">, </w:t>
      </w:r>
      <w:r w:rsidR="00845CAF">
        <w:rPr>
          <w:cs/>
        </w:rPr>
        <w:t xml:space="preserve">№ </w:t>
      </w:r>
      <w:r w:rsidR="00845CAF">
        <w:t xml:space="preserve">48420/10, 59842/10, 51671/10 и 36516/10, §§ 79-84, ECHR 2013 (откъси); вижте също </w:t>
      </w:r>
      <w:r w:rsidR="00845CAF">
        <w:rPr>
          <w:i/>
        </w:rPr>
        <w:t xml:space="preserve">Leyla Şahin v. Turkey </w:t>
      </w:r>
      <w:r w:rsidR="00845CAF">
        <w:t xml:space="preserve">[GC], </w:t>
      </w:r>
      <w:r w:rsidR="00845CAF">
        <w:rPr>
          <w:cs/>
        </w:rPr>
        <w:t xml:space="preserve">№ </w:t>
      </w:r>
      <w:r w:rsidR="00845CAF">
        <w:t>44774/98, § 84, ЕСПЧ 2005</w:t>
      </w:r>
      <w:r w:rsidR="00845CAF">
        <w:noBreakHyphen/>
        <w:t>XI.</w:t>
      </w:r>
    </w:p>
    <w:p w:rsidR="00845CAF" w:rsidRPr="0072278C" w:rsidRDefault="00684AA9" w:rsidP="00845CAF">
      <w:pPr>
        <w:pStyle w:val="ECHRPara"/>
      </w:pPr>
      <w:r>
        <w:fldChar w:fldCharType="begin"/>
      </w:r>
      <w:r w:rsidR="00845CAF">
        <w:instrText xml:space="preserve"> SEQ level0 \*arabic </w:instrText>
      </w:r>
      <w:r>
        <w:fldChar w:fldCharType="separate"/>
      </w:r>
      <w:r w:rsidR="00845CAF">
        <w:t>28</w:t>
      </w:r>
      <w:r>
        <w:fldChar w:fldCharType="end"/>
      </w:r>
      <w:r w:rsidR="00845CAF">
        <w:t>.  </w:t>
      </w:r>
      <w:r w:rsidR="00B95CAD">
        <w:t xml:space="preserve">Съдът трябва първо да </w:t>
      </w:r>
      <w:r w:rsidR="00845CAF">
        <w:t>определи дали фактите по настоящото дело разкриват намеса в правата на жалбоподателката по чл. 9. Той отбелязва, че жалбоподателката е била призована да се яви в полицейското управление и че претърсването на апартамента ѝ е било извършено, с изземване на редица лични вещи, поради единствената причина, че за нея е било известно, че е член на общността на "Слово на живота" и е организирала религиозни събрания в дома си. След претърсването, от полицията ѝ е издаден протокол за предупреждение да не бъде домакин на по-нататъшни събрания на "Слово на живот" (вижте параграфи 8-9 по-горе). При тези обстоятелства, тъй като действието на полицията е извършено в пряк отговор на проява на религиозните убеждения на жалбоподателката и е предназначено да я разубеди да практикува и спазва религията си оттам нататък съвместно с други лица, Съдът намира, че това съставлява ограничение на свободата ѝ да изповядва религия по смисъла на чл. 9, § 2.</w:t>
      </w:r>
    </w:p>
    <w:p w:rsidR="00845CAF" w:rsidRPr="0072278C" w:rsidRDefault="00684AA9" w:rsidP="00845CAF">
      <w:pPr>
        <w:pStyle w:val="ECHRPara"/>
      </w:pPr>
      <w:r>
        <w:fldChar w:fldCharType="begin"/>
      </w:r>
      <w:r w:rsidR="00845CAF">
        <w:instrText xml:space="preserve"> SEQ level0 \*arabic </w:instrText>
      </w:r>
      <w:r>
        <w:fldChar w:fldCharType="separate"/>
      </w:r>
      <w:r w:rsidR="00845CAF">
        <w:t>29</w:t>
      </w:r>
      <w:r>
        <w:fldChar w:fldCharType="end"/>
      </w:r>
      <w:r w:rsidR="00845CAF">
        <w:t xml:space="preserve">.  Подобно ограничение трябва наред с другото да бъде "предвидено от закона", ако трябва да не нарушава правата, защитени от чл. 9 (вижте </w:t>
      </w:r>
      <w:r w:rsidR="00845CAF">
        <w:rPr>
          <w:i/>
        </w:rPr>
        <w:t>Leyla Şahin</w:t>
      </w:r>
      <w:r w:rsidR="00845CAF">
        <w:t xml:space="preserve">, цитирано по-горе, § 84). В тази връзка, Съдът припомня констатациите си в </w:t>
      </w:r>
      <w:r w:rsidR="00845CAF">
        <w:rPr>
          <w:i/>
        </w:rPr>
        <w:t>Бойчев и други</w:t>
      </w:r>
      <w:r w:rsidR="00845CAF">
        <w:t>, цитирано по-горе. Това дело се отнася до операция по претърсване и изземване, извършена от полицията по време на събрание на няколко членове на нерегистрирана религиозна общност в частен дом. Съдът установява, че полицейските мерки не са били "предвидени от закона", тъй като не са извършени в контекста на каквото и да било предварително съществуващо наказателно разследване и тъй като властта, дадена на прокурора съгласно чл. 185 от НПК от 1974 г. (вижте параграф 7 по-горе) е толкова голяма, че не се осигурява достатъчна защита срещу произвол (вижте</w:t>
      </w:r>
      <w:r w:rsidR="00E46DA8">
        <w:t xml:space="preserve"> </w:t>
      </w:r>
      <w:r w:rsidR="00845CAF">
        <w:rPr>
          <w:i/>
        </w:rPr>
        <w:t>Бойчев и други</w:t>
      </w:r>
      <w:r w:rsidR="00845CAF">
        <w:t xml:space="preserve">, цитирано по-горе, §§ 49-50). Накрая Съдът отбелязва, че правилата на вътрешното право, както се прилагат от съдилищата, не са достатъчно ясни по отношение на законността на дейността на нерегистрирани религиозни общности (вижте </w:t>
      </w:r>
      <w:r w:rsidR="00845CAF">
        <w:rPr>
          <w:i/>
        </w:rPr>
        <w:t>Бойчев и други</w:t>
      </w:r>
      <w:r w:rsidR="00845CAF">
        <w:t>, цитирано по-горе, § 51).</w:t>
      </w:r>
    </w:p>
    <w:p w:rsidR="00845CAF" w:rsidRPr="0072278C" w:rsidRDefault="00684AA9" w:rsidP="00845CAF">
      <w:pPr>
        <w:pStyle w:val="ECHRPara"/>
      </w:pPr>
      <w:r>
        <w:fldChar w:fldCharType="begin"/>
      </w:r>
      <w:r w:rsidR="00845CAF">
        <w:instrText xml:space="preserve"> SEQ level0 \*arabic </w:instrText>
      </w:r>
      <w:r>
        <w:fldChar w:fldCharType="separate"/>
      </w:r>
      <w:r w:rsidR="00845CAF">
        <w:t>30</w:t>
      </w:r>
      <w:r>
        <w:fldChar w:fldCharType="end"/>
      </w:r>
      <w:r w:rsidR="00845CAF">
        <w:t xml:space="preserve">.  Съдът не счита, че конкретното дело може да бъде разграничено. Мерките за претърсване и изземване срещу жалбоподателката не са предприети в рамките на наказателно разследване и следователно са незаконни съгласно вътрешното право, както Софийски районен съд установява в своето решение от 28 февруари 1998 г. (вижте параграф 11 по-горе). Въпреки че след жалби и връщането на делото националните съдилища установяват, че жалбоподателката няма право на обезщетение по реда на ЗОДОВ от 1988 г., констатацията на районния съд, че претърсването на </w:t>
      </w:r>
      <w:r w:rsidR="00845CAF">
        <w:lastRenderedPageBreak/>
        <w:t xml:space="preserve">апартамента на жалбоподателката е незаконно, не е отменена (вижте параграфи 12-14 по-горе). В допълнение, доколкото прокурорът, давайки разрешение за претърсване на апартамента на жалбоподателката, действа в съответствие с чл. 185 от НПК от 1974 г., критиките на Съда по </w:t>
      </w:r>
      <w:r w:rsidR="00845CAF">
        <w:rPr>
          <w:i/>
        </w:rPr>
        <w:t>Бойчев и други</w:t>
      </w:r>
      <w:r w:rsidR="00845CAF">
        <w:t xml:space="preserve"> за широчината на тази дискреционна власт се прилагат по същия начин и тук (и вижте също </w:t>
      </w:r>
      <w:r w:rsidR="00845CAF">
        <w:rPr>
          <w:i/>
        </w:rPr>
        <w:t>Zlínsat, spol. s r.o.</w:t>
      </w:r>
      <w:r w:rsidR="00845CAF">
        <w:t xml:space="preserve"> </w:t>
      </w:r>
      <w:r w:rsidR="00845CAF">
        <w:rPr>
          <w:i/>
        </w:rPr>
        <w:t>срещу България</w:t>
      </w:r>
      <w:r w:rsidR="00845CAF">
        <w:t xml:space="preserve">, </w:t>
      </w:r>
      <w:r w:rsidR="00845CAF">
        <w:rPr>
          <w:cs/>
        </w:rPr>
        <w:t xml:space="preserve">№ </w:t>
      </w:r>
      <w:r w:rsidR="00845CAF">
        <w:t xml:space="preserve">57785/00, § 99, 15 юни 2006 г.). На последно място, въпросните събития в настоящата жалба настъпват две години преди тези в </w:t>
      </w:r>
      <w:r w:rsidR="00845CAF">
        <w:rPr>
          <w:i/>
        </w:rPr>
        <w:t>Бойчев и други</w:t>
      </w:r>
      <w:r w:rsidR="00845CAF">
        <w:t>, по време, когато несигурността по вътрешното право по отношение на дейността на нерегистрираните религиозни групи е същата.</w:t>
      </w:r>
    </w:p>
    <w:p w:rsidR="00845CAF" w:rsidRPr="0072278C" w:rsidRDefault="00684AA9" w:rsidP="00845CAF">
      <w:pPr>
        <w:pStyle w:val="ECHRPara"/>
      </w:pPr>
      <w:r>
        <w:fldChar w:fldCharType="begin"/>
      </w:r>
      <w:r w:rsidR="00845CAF">
        <w:instrText xml:space="preserve"> SEQ level0 \*arabic </w:instrText>
      </w:r>
      <w:r>
        <w:fldChar w:fldCharType="separate"/>
      </w:r>
      <w:r w:rsidR="00845CAF">
        <w:t>31</w:t>
      </w:r>
      <w:r>
        <w:fldChar w:fldCharType="end"/>
      </w:r>
      <w:r w:rsidR="00845CAF">
        <w:t>.  С оглед на гореизложените съображения, Съдът заключава, че е налице нарушение на чл. 9 от Конвенцията.</w:t>
      </w:r>
    </w:p>
    <w:p w:rsidR="00845CAF" w:rsidRPr="0072278C" w:rsidRDefault="00845CAF" w:rsidP="00845CAF">
      <w:pPr>
        <w:pStyle w:val="ECHRHeading1"/>
      </w:pPr>
      <w:r>
        <w:t>III.  ТВЪРДЯНО НАРУШЕНИЕ НА ЧЛ. 13 ОТ КОНВЕНЦИЯТА, РАЗГЛЕЖДАН ВЪВ ВРЪЗКА С ЧЛ. 9 ОТ КОНВЕНЦИЯТА</w:t>
      </w:r>
    </w:p>
    <w:p w:rsidR="00845CAF" w:rsidRPr="0072278C" w:rsidRDefault="00684AA9" w:rsidP="00845CAF">
      <w:pPr>
        <w:pStyle w:val="ECHRPara"/>
      </w:pPr>
      <w:r>
        <w:fldChar w:fldCharType="begin"/>
      </w:r>
      <w:r w:rsidR="00845CAF">
        <w:instrText xml:space="preserve"> SEQ level0 \*arabic </w:instrText>
      </w:r>
      <w:r>
        <w:fldChar w:fldCharType="separate"/>
      </w:r>
      <w:r w:rsidR="00845CAF">
        <w:t>32</w:t>
      </w:r>
      <w:r>
        <w:fldChar w:fldCharType="end"/>
      </w:r>
      <w:r w:rsidR="00845CAF">
        <w:t>.  Жалбоподателката също се оплаква по силата на чл. 13 от Конвенцията, че не е имала на разположение ефективни вътрешни правни средства за защита по отношение на оплакването си по чл. 9. Чл. 13 гласи:</w:t>
      </w:r>
    </w:p>
    <w:p w:rsidR="00845CAF" w:rsidRPr="0072278C" w:rsidRDefault="00845CAF" w:rsidP="00845CAF">
      <w:pPr>
        <w:pStyle w:val="ECHRParaQuote"/>
      </w:pPr>
      <w:r>
        <w:t>"Βсеки, чиито права и свободи, провъзгласени в тази Конвенция, са нарушени, има право на ефикасни правни средства за тяхната защита пред съответните национални власти, дори и нарушението да е извършено от лица, действащи при упражняване на служебни функции."</w:t>
      </w:r>
    </w:p>
    <w:p w:rsidR="00845CAF" w:rsidRPr="0072278C" w:rsidRDefault="00684AA9" w:rsidP="00845CAF">
      <w:pPr>
        <w:pStyle w:val="ECHRPara"/>
      </w:pPr>
      <w:r>
        <w:fldChar w:fldCharType="begin"/>
      </w:r>
      <w:r w:rsidR="00845CAF">
        <w:instrText xml:space="preserve"> SEQ level0 \*arabic </w:instrText>
      </w:r>
      <w:r>
        <w:fldChar w:fldCharType="separate"/>
      </w:r>
      <w:r w:rsidR="00845CAF">
        <w:t>33</w:t>
      </w:r>
      <w:r>
        <w:fldChar w:fldCharType="end"/>
      </w:r>
      <w:r w:rsidR="00845CAF">
        <w:t>.  Правителството е на мнение, че жалбоподателката е имала вътрешно правно средство за защита по реда на ЗОДОВ от 1988 г., от което тя се възползва.</w:t>
      </w:r>
    </w:p>
    <w:p w:rsidR="00845CAF" w:rsidRDefault="00684AA9" w:rsidP="00845CAF">
      <w:pPr>
        <w:pStyle w:val="ECHRPara"/>
      </w:pPr>
      <w:r>
        <w:fldChar w:fldCharType="begin"/>
      </w:r>
      <w:r w:rsidR="00845CAF">
        <w:instrText xml:space="preserve"> SEQ level0 \*arabic </w:instrText>
      </w:r>
      <w:r>
        <w:fldChar w:fldCharType="separate"/>
      </w:r>
      <w:r w:rsidR="00845CAF">
        <w:t>34</w:t>
      </w:r>
      <w:r>
        <w:fldChar w:fldCharType="end"/>
      </w:r>
      <w:r w:rsidR="00845CAF">
        <w:t>.  Жалбоподателката твърди, че, както се вижда от присъдите на Софийски районен съд и Софийски градски съд съответно от 8 февруари 2005 г. и 2 октомври 2006 г., тъй като действията на прокуратурата по чл. 185 от НПК от 1974 г. не са предмет на присъждане на обезщетение за вреди, на разположение на жалбоподателката не е имало ефективно средство за защита.</w:t>
      </w:r>
    </w:p>
    <w:p w:rsidR="00845CAF" w:rsidRPr="0072278C" w:rsidRDefault="00845CAF" w:rsidP="00845CAF">
      <w:pPr>
        <w:pStyle w:val="ECHRHeading2"/>
      </w:pPr>
      <w:r>
        <w:t>A.  Допустимост</w:t>
      </w:r>
    </w:p>
    <w:p w:rsidR="00845CAF" w:rsidRPr="0072278C" w:rsidRDefault="00684AA9" w:rsidP="00845CAF">
      <w:pPr>
        <w:pStyle w:val="ECHRPara"/>
      </w:pPr>
      <w:r>
        <w:fldChar w:fldCharType="begin"/>
      </w:r>
      <w:r w:rsidR="00845CAF">
        <w:instrText xml:space="preserve"> SEQ level0 \*arabic </w:instrText>
      </w:r>
      <w:r>
        <w:fldChar w:fldCharType="separate"/>
      </w:r>
      <w:r w:rsidR="00845CAF">
        <w:t>35</w:t>
      </w:r>
      <w:r>
        <w:fldChar w:fldCharType="end"/>
      </w:r>
      <w:r w:rsidR="00845CAF">
        <w:t>.  Съдът смята, че оплакван</w:t>
      </w:r>
      <w:r w:rsidR="007E1905">
        <w:t>ето</w:t>
      </w:r>
      <w:r w:rsidR="00845CAF">
        <w:t xml:space="preserve"> не </w:t>
      </w:r>
      <w:r w:rsidR="007E1905">
        <w:t>е</w:t>
      </w:r>
      <w:r w:rsidR="00845CAF">
        <w:t xml:space="preserve"> явно необоснован</w:t>
      </w:r>
      <w:r w:rsidR="007E1905">
        <w:t>о</w:t>
      </w:r>
      <w:r w:rsidR="00845CAF">
        <w:t xml:space="preserve"> по смисъла на чл. 35 § 3 от Конвенцията. Той отбелязва още, че то не е недопустимо на други основания. Следователно то трябва да бъде обявено за допустимо.</w:t>
      </w:r>
    </w:p>
    <w:p w:rsidR="00845CAF" w:rsidRPr="0072278C" w:rsidRDefault="00845CAF" w:rsidP="00845CAF">
      <w:pPr>
        <w:pStyle w:val="ECHRHeading2"/>
      </w:pPr>
      <w:r>
        <w:lastRenderedPageBreak/>
        <w:t>Б. Основателност</w:t>
      </w:r>
    </w:p>
    <w:p w:rsidR="00845CAF" w:rsidRPr="0072278C" w:rsidRDefault="00684AA9" w:rsidP="00845CAF">
      <w:pPr>
        <w:pStyle w:val="ECHRPara"/>
      </w:pPr>
      <w:r>
        <w:fldChar w:fldCharType="begin"/>
      </w:r>
      <w:r w:rsidR="00845CAF">
        <w:instrText xml:space="preserve"> SEQ level0 \*arabic </w:instrText>
      </w:r>
      <w:r>
        <w:fldChar w:fldCharType="separate"/>
      </w:r>
      <w:r w:rsidR="00845CAF">
        <w:t>36</w:t>
      </w:r>
      <w:r>
        <w:fldChar w:fldCharType="end"/>
      </w:r>
      <w:r w:rsidR="00845CAF">
        <w:t xml:space="preserve">.  Както Съдът е постановявал в много случаи, чл. 13 от Конвенцията гарантира наличието на национално ниво на средство за защита, което да привежда в действие същността на </w:t>
      </w:r>
      <w:r w:rsidR="00A8100A">
        <w:t xml:space="preserve">правата и свободите по </w:t>
      </w:r>
      <w:r w:rsidR="00845CAF">
        <w:t xml:space="preserve">Конвенцията, </w:t>
      </w:r>
      <w:r w:rsidR="00F73C7F">
        <w:t xml:space="preserve">под </w:t>
      </w:r>
      <w:r w:rsidR="00845CAF">
        <w:t xml:space="preserve">каквато и </w:t>
      </w:r>
      <w:r w:rsidR="00F73C7F">
        <w:t xml:space="preserve">да е </w:t>
      </w:r>
      <w:r w:rsidR="00845CAF">
        <w:t xml:space="preserve">форма, </w:t>
      </w:r>
      <w:r w:rsidR="00F73C7F">
        <w:t xml:space="preserve">така че </w:t>
      </w:r>
      <w:r w:rsidR="00845CAF">
        <w:t xml:space="preserve">да бъдат гарантирани във вътрешния правен ред. </w:t>
      </w:r>
      <w:r w:rsidR="00F73C7F">
        <w:t>Следователно, д</w:t>
      </w:r>
      <w:r w:rsidR="00845CAF">
        <w:t xml:space="preserve">ействието на чл. 13 е да изисква осигуряването на вътрешно правно средство за защита, което да се занимава със същността на "защитимо оплакване" по Конвенцията и да предоставя подходящо обезщетение (вижте </w:t>
      </w:r>
      <w:r w:rsidR="00845CAF">
        <w:rPr>
          <w:i/>
        </w:rPr>
        <w:t>Kudła v. Poland</w:t>
      </w:r>
      <w:r w:rsidR="00845CAF">
        <w:t xml:space="preserve"> [GC], </w:t>
      </w:r>
      <w:r w:rsidR="00845CAF">
        <w:rPr>
          <w:cs/>
        </w:rPr>
        <w:t xml:space="preserve">№ </w:t>
      </w:r>
      <w:r w:rsidR="00845CAF">
        <w:t>30210/96, § 157, ЕСПЧ 2000-XI).</w:t>
      </w:r>
    </w:p>
    <w:p w:rsidR="00845CAF" w:rsidRDefault="00684AA9" w:rsidP="00845CAF">
      <w:pPr>
        <w:pStyle w:val="ECHRPara"/>
      </w:pPr>
      <w:r>
        <w:fldChar w:fldCharType="begin"/>
      </w:r>
      <w:r w:rsidR="00845CAF">
        <w:instrText xml:space="preserve"> SEQ level0 \*arabic </w:instrText>
      </w:r>
      <w:r>
        <w:fldChar w:fldCharType="separate"/>
      </w:r>
      <w:r w:rsidR="00845CAF">
        <w:t>37</w:t>
      </w:r>
      <w:r>
        <w:fldChar w:fldCharType="end"/>
      </w:r>
      <w:r w:rsidR="00845CAF">
        <w:t xml:space="preserve">.  Жалбоподателката по настоящото дело предявява иск за обезщетение по отношение на действията на полицията, за която твърди, че е нарушила правото ѝ на свобода на религията и свободата на събранията. Най-накрая нейният иск е отхвърлен с мотива, че полицията е действала в изпълнение на разпорежданията на органите на прокуратурата, които от своя страна не могат да бъдат подведени под отговорност по вътрешното право за конкретните въпросни решения (вижте параграф 14 по-горе). Правителството не показва пред Съда, че жалбоподателката е имала на свое разположение друго средство за защита, което би ѝ предоставило ефективна помощ по отношение на оплакването ѝ по чл. 9 от Конвенцията (вижте </w:t>
      </w:r>
      <w:r w:rsidR="00845CAF">
        <w:rPr>
          <w:i/>
        </w:rPr>
        <w:t>Красимир Йорданов</w:t>
      </w:r>
      <w:r w:rsidR="00845CAF">
        <w:t xml:space="preserve">, цитирано по-горе, §§ 50-55; вижте също </w:t>
      </w:r>
      <w:r w:rsidR="00845CAF">
        <w:rPr>
          <w:i/>
        </w:rPr>
        <w:t>Бойчев и други</w:t>
      </w:r>
      <w:r w:rsidR="00845CAF">
        <w:t>, цитирано по-горе, § 56).</w:t>
      </w:r>
    </w:p>
    <w:p w:rsidR="00845CAF" w:rsidRPr="0072278C" w:rsidRDefault="00684AA9" w:rsidP="00845CAF">
      <w:pPr>
        <w:pStyle w:val="ECHRPara"/>
      </w:pPr>
      <w:r>
        <w:fldChar w:fldCharType="begin"/>
      </w:r>
      <w:r w:rsidR="00845CAF">
        <w:instrText xml:space="preserve"> SEQ level0 \*arabic </w:instrText>
      </w:r>
      <w:r>
        <w:fldChar w:fldCharType="separate"/>
      </w:r>
      <w:r w:rsidR="00845CAF">
        <w:t>38</w:t>
      </w:r>
      <w:r>
        <w:fldChar w:fldCharType="end"/>
      </w:r>
      <w:r w:rsidR="00845CAF">
        <w:t>.  От това следва, че е налице нарушение на чл. 13 по настоящото дело поради липсата на средства за защита по вътрешното право за оплакването на жалбоподателката по чл. 9.</w:t>
      </w:r>
    </w:p>
    <w:p w:rsidR="00845CAF" w:rsidRPr="0072278C" w:rsidRDefault="00845CAF">
      <w:pPr>
        <w:pStyle w:val="ECHRHeading1"/>
      </w:pPr>
      <w:r>
        <w:t>IV.  ДРУГИ ТВЪРДЕНИ НАРУШЕНИЯ НА КОНВЕНЦИЯТА</w:t>
      </w:r>
    </w:p>
    <w:p w:rsidR="00845CAF" w:rsidRPr="0072278C" w:rsidRDefault="00684AA9" w:rsidP="00845CAF">
      <w:pPr>
        <w:pStyle w:val="ECHRPara"/>
      </w:pPr>
      <w:r>
        <w:fldChar w:fldCharType="begin"/>
      </w:r>
      <w:r w:rsidR="00845CAF">
        <w:instrText xml:space="preserve"> SEQ level0 \*arabic </w:instrText>
      </w:r>
      <w:r>
        <w:fldChar w:fldCharType="separate"/>
      </w:r>
      <w:r w:rsidR="00845CAF">
        <w:t>39</w:t>
      </w:r>
      <w:r>
        <w:fldChar w:fldCharType="end"/>
      </w:r>
      <w:r w:rsidR="00845CAF">
        <w:t>.  Жалбоподателката се оплаква също по чл. 8 и чл. 11 от Конвенцията за полицейските мерки, предприети срещу нея.</w:t>
      </w:r>
    </w:p>
    <w:p w:rsidR="00845CAF" w:rsidRPr="0072278C" w:rsidRDefault="00684AA9" w:rsidP="00845CAF">
      <w:pPr>
        <w:pStyle w:val="ECHRPara"/>
      </w:pPr>
      <w:r>
        <w:fldChar w:fldCharType="begin"/>
      </w:r>
      <w:r w:rsidR="00845CAF">
        <w:instrText xml:space="preserve"> SEQ level0 \*arabic </w:instrText>
      </w:r>
      <w:r>
        <w:fldChar w:fldCharType="separate"/>
      </w:r>
      <w:r w:rsidR="00845CAF">
        <w:t>40</w:t>
      </w:r>
      <w:r>
        <w:fldChar w:fldCharType="end"/>
      </w:r>
      <w:r w:rsidR="00845CAF">
        <w:t>.  Съдът отбелязва, че тези оплаквания са сходни с разгледаното по-горе по чл. 9. Той установява, че те са допустими, но не е необходимо да ги разглежда отделно.</w:t>
      </w:r>
    </w:p>
    <w:p w:rsidR="00845CAF" w:rsidRPr="0072278C" w:rsidRDefault="00845CAF">
      <w:pPr>
        <w:pStyle w:val="ECHRHeading1"/>
      </w:pPr>
      <w:r>
        <w:lastRenderedPageBreak/>
        <w:t>V. ПРИЛОЖЕНИЕ НА ЧЛ. 41 ОТ КОНВЕНЦИЯТА</w:t>
      </w:r>
    </w:p>
    <w:p w:rsidR="00845CAF" w:rsidRPr="0072278C" w:rsidRDefault="00684AA9" w:rsidP="00845CAF">
      <w:pPr>
        <w:pStyle w:val="ECHRPara"/>
        <w:keepNext/>
        <w:keepLines/>
      </w:pPr>
      <w:r>
        <w:fldChar w:fldCharType="begin"/>
      </w:r>
      <w:r w:rsidR="00845CAF">
        <w:instrText xml:space="preserve"> SEQ level0 \*arabic </w:instrText>
      </w:r>
      <w:r>
        <w:fldChar w:fldCharType="separate"/>
      </w:r>
      <w:r w:rsidR="00845CAF">
        <w:t>41</w:t>
      </w:r>
      <w:r>
        <w:fldChar w:fldCharType="end"/>
      </w:r>
      <w:r w:rsidR="00845CAF">
        <w:t>.  Чл. 41 от Конвенцията гласи:</w:t>
      </w:r>
    </w:p>
    <w:p w:rsidR="00845CAF" w:rsidRPr="0072278C" w:rsidRDefault="00845CAF">
      <w:pPr>
        <w:pStyle w:val="ECHRParaQuote"/>
        <w:keepNext/>
        <w:keepLines/>
      </w:pPr>
      <w:r>
        <w:t>"Ако Съдът установи нарушение на Конвенцията или на Протоколите към нея и ако вътрешното право на съответната 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p>
    <w:p w:rsidR="00845CAF" w:rsidRPr="0072278C" w:rsidRDefault="00845CAF" w:rsidP="00845CAF">
      <w:pPr>
        <w:pStyle w:val="ECHRHeading2"/>
      </w:pPr>
      <w:r>
        <w:t>А. Обезщетение за вреди</w:t>
      </w:r>
    </w:p>
    <w:p w:rsidR="00845CAF" w:rsidRPr="0072278C" w:rsidRDefault="00684AA9" w:rsidP="00845CAF">
      <w:pPr>
        <w:pStyle w:val="ECHRPara"/>
      </w:pPr>
      <w:r>
        <w:fldChar w:fldCharType="begin"/>
      </w:r>
      <w:r w:rsidR="00845CAF">
        <w:instrText xml:space="preserve"> SEQ level0 \*arabic </w:instrText>
      </w:r>
      <w:r>
        <w:fldChar w:fldCharType="separate"/>
      </w:r>
      <w:r w:rsidR="00845CAF">
        <w:t>42</w:t>
      </w:r>
      <w:r>
        <w:fldChar w:fldCharType="end"/>
      </w:r>
      <w:r w:rsidR="00845CAF">
        <w:t>.  Жалбоподателката претендира за обезщетение за неимуществени вреди от 20 000 евро по отношение на психическо страдание, което тя е изпитала в резултат от разпита ѝ от страна на полицията за нейната дълбока вяра и последвалото претърсване на апартамента ѝ и изземване на притежанията ѝ. Тези мерки също така са я накарали да се съмнява дали е свободна да продължи да изповядва вярата си в собствения си дом с други членове на нейната църква.</w:t>
      </w:r>
    </w:p>
    <w:p w:rsidR="00845CAF" w:rsidRPr="0072278C" w:rsidRDefault="00684AA9" w:rsidP="00845CAF">
      <w:pPr>
        <w:pStyle w:val="ECHRPara"/>
      </w:pPr>
      <w:r>
        <w:fldChar w:fldCharType="begin"/>
      </w:r>
      <w:r w:rsidR="00845CAF">
        <w:instrText xml:space="preserve"> SEQ level0 \*arabic </w:instrText>
      </w:r>
      <w:r>
        <w:fldChar w:fldCharType="separate"/>
      </w:r>
      <w:r w:rsidR="00845CAF">
        <w:t>43</w:t>
      </w:r>
      <w:r>
        <w:fldChar w:fldCharType="end"/>
      </w:r>
      <w:r w:rsidR="00845CAF">
        <w:t>.  Правителството твърди, че претенцията е нереалистична и необоснована. То изразява становището, че ако Съдът установи нарушение, тази констатация би представлявала достатъчно справедливо обезщетение.</w:t>
      </w:r>
    </w:p>
    <w:p w:rsidR="00845CAF" w:rsidRPr="0072278C" w:rsidRDefault="00684AA9" w:rsidP="00845CAF">
      <w:pPr>
        <w:pStyle w:val="ECHRPara"/>
      </w:pPr>
      <w:r>
        <w:fldChar w:fldCharType="begin"/>
      </w:r>
      <w:r w:rsidR="00845CAF">
        <w:instrText xml:space="preserve"> SEQ level0 \*arabic </w:instrText>
      </w:r>
      <w:r>
        <w:fldChar w:fldCharType="separate"/>
      </w:r>
      <w:r w:rsidR="00845CAF">
        <w:t>44</w:t>
      </w:r>
      <w:r>
        <w:fldChar w:fldCharType="end"/>
      </w:r>
      <w:r w:rsidR="00845CAF">
        <w:t xml:space="preserve">.  Решавайки на справедлива основа, Съдът присъжда на жалбоподателката 2 000 евро по отношение на неимуществени вреди (вижте например </w:t>
      </w:r>
      <w:r w:rsidR="00845CAF">
        <w:rPr>
          <w:i/>
        </w:rPr>
        <w:t>Бойчев и други</w:t>
      </w:r>
      <w:r w:rsidR="00845CAF">
        <w:t>, цитирано по-горе, § 78).</w:t>
      </w:r>
    </w:p>
    <w:p w:rsidR="00845CAF" w:rsidRPr="0072278C" w:rsidRDefault="00845CAF" w:rsidP="00845CAF">
      <w:pPr>
        <w:pStyle w:val="ECHRHeading2"/>
      </w:pPr>
      <w:r>
        <w:t>Б. Разходи и разноски</w:t>
      </w:r>
    </w:p>
    <w:p w:rsidR="00845CAF" w:rsidRPr="0072278C" w:rsidRDefault="00684AA9" w:rsidP="00845CAF">
      <w:pPr>
        <w:pStyle w:val="ECHRPara"/>
      </w:pPr>
      <w:r>
        <w:fldChar w:fldCharType="begin"/>
      </w:r>
      <w:r w:rsidR="00845CAF">
        <w:instrText xml:space="preserve"> SEQ level0 \*arabic </w:instrText>
      </w:r>
      <w:r>
        <w:fldChar w:fldCharType="separate"/>
      </w:r>
      <w:r w:rsidR="00845CAF">
        <w:t>45</w:t>
      </w:r>
      <w:r>
        <w:fldChar w:fldCharType="end"/>
      </w:r>
      <w:r w:rsidR="00845CAF">
        <w:t>.  Жалбоподателката претендира също за общо 5 070 евро за разходи и разноски, направени пред Съда.</w:t>
      </w:r>
    </w:p>
    <w:p w:rsidR="00845CAF" w:rsidRPr="0072278C" w:rsidRDefault="00684AA9" w:rsidP="00845CAF">
      <w:pPr>
        <w:pStyle w:val="ECHRPara"/>
      </w:pPr>
      <w:r>
        <w:fldChar w:fldCharType="begin"/>
      </w:r>
      <w:r w:rsidR="00845CAF">
        <w:instrText xml:space="preserve"> SEQ level0 \*arabic </w:instrText>
      </w:r>
      <w:r>
        <w:fldChar w:fldCharType="separate"/>
      </w:r>
      <w:r w:rsidR="00845CAF">
        <w:t>46</w:t>
      </w:r>
      <w:r>
        <w:fldChar w:fldCharType="end"/>
      </w:r>
      <w:r w:rsidR="00845CAF">
        <w:t xml:space="preserve">.  Правителството твърди, че претенцията е прекомерна. То посочва, че в подкрепа на претенцията си жалбоподателката е предоставила само работен лист от адвоката, който първоначално я е представлявал. Той претендира за 31 </w:t>
      </w:r>
      <w:r w:rsidR="00BF543F">
        <w:t>часа работ</w:t>
      </w:r>
      <w:r w:rsidR="00845CAF">
        <w:t>а по 100 евро на час. Претенцията на другите си представители за 1 950 евро не е подкрепена от каквато и да било справка за изработените часове.</w:t>
      </w:r>
    </w:p>
    <w:p w:rsidR="00845CAF" w:rsidRPr="0072278C" w:rsidRDefault="00684AA9" w:rsidP="00845CAF">
      <w:pPr>
        <w:pStyle w:val="ECHRPara"/>
      </w:pPr>
      <w:r>
        <w:fldChar w:fldCharType="begin"/>
      </w:r>
      <w:r w:rsidR="00845CAF">
        <w:instrText xml:space="preserve"> SEQ level0 \*arabic </w:instrText>
      </w:r>
      <w:r>
        <w:fldChar w:fldCharType="separate"/>
      </w:r>
      <w:r w:rsidR="00845CAF">
        <w:t>47</w:t>
      </w:r>
      <w:r>
        <w:fldChar w:fldCharType="end"/>
      </w:r>
      <w:r w:rsidR="00845CAF">
        <w:t>.  Според съдебната практика на Съда, жалбоподателят има право на възстановяване на разходи и разноски само доколкото е доказано, че те са били действително и необходимо направени и са в разумен размер. В настоящото дело, като се имат предвид наличните документи и горепосочените критерии, Съдът счита за разумно да присъди сумата от 2000 евро.</w:t>
      </w:r>
    </w:p>
    <w:p w:rsidR="00845CAF" w:rsidRPr="0072278C" w:rsidRDefault="00845CAF" w:rsidP="00845CAF">
      <w:pPr>
        <w:pStyle w:val="ECHRHeading2"/>
      </w:pPr>
      <w:r>
        <w:lastRenderedPageBreak/>
        <w:t>В. Лихва за забава</w:t>
      </w:r>
    </w:p>
    <w:p w:rsidR="00845CAF" w:rsidRPr="0072278C" w:rsidRDefault="00684AA9" w:rsidP="00845CAF">
      <w:pPr>
        <w:pStyle w:val="ECHRPara"/>
      </w:pPr>
      <w:r>
        <w:fldChar w:fldCharType="begin"/>
      </w:r>
      <w:r w:rsidR="00845CAF">
        <w:instrText xml:space="preserve"> SEQ level0 \*arabic </w:instrText>
      </w:r>
      <w:r>
        <w:fldChar w:fldCharType="separate"/>
      </w:r>
      <w:r w:rsidR="00845CAF">
        <w:t>48</w:t>
      </w:r>
      <w:r>
        <w:fldChar w:fldCharType="end"/>
      </w:r>
      <w:r w:rsidR="00845CAF">
        <w:t>.  Съдът счита за уместно лихвата за забава да бъде обвързана с пределната ставка по заеми на Европейската централна банка, към която се добавят три процентни пункта.</w:t>
      </w:r>
    </w:p>
    <w:p w:rsidR="00845CAF" w:rsidRPr="0072278C" w:rsidRDefault="00845CAF" w:rsidP="00845CAF">
      <w:pPr>
        <w:pStyle w:val="ECHRTitle1"/>
      </w:pPr>
      <w:r>
        <w:t>ПО ТЕЗИ СЪОБРАЖЕНИЯ СЪДЪТ ЕДИНОДУШНО</w:t>
      </w:r>
    </w:p>
    <w:p w:rsidR="00845CAF" w:rsidRPr="0072278C" w:rsidRDefault="00845CAF">
      <w:pPr>
        <w:pStyle w:val="JuList"/>
      </w:pPr>
      <w:r>
        <w:t>1.  </w:t>
      </w:r>
      <w:r>
        <w:rPr>
          <w:i/>
        </w:rPr>
        <w:t>Обявява</w:t>
      </w:r>
      <w:r>
        <w:t xml:space="preserve"> оплакването относно продължителността на гражданското производство за недопустимо, а останалата част от жалбата за допустима;</w:t>
      </w:r>
    </w:p>
    <w:p w:rsidR="00845CAF" w:rsidRPr="0072278C" w:rsidRDefault="00845CAF">
      <w:pPr>
        <w:pStyle w:val="JuList"/>
      </w:pPr>
    </w:p>
    <w:p w:rsidR="00845CAF" w:rsidRPr="0072278C" w:rsidRDefault="00845CAF" w:rsidP="00845CAF">
      <w:pPr>
        <w:pStyle w:val="JuList"/>
      </w:pPr>
      <w:r>
        <w:t>2.  </w:t>
      </w:r>
      <w:r>
        <w:rPr>
          <w:i/>
        </w:rPr>
        <w:t>Приема</w:t>
      </w:r>
      <w:r>
        <w:t>, че е налице нарушение на чл. 9 от Конвенцията;</w:t>
      </w:r>
    </w:p>
    <w:p w:rsidR="00845CAF" w:rsidRPr="0072278C" w:rsidRDefault="00845CAF" w:rsidP="00845CAF">
      <w:pPr>
        <w:pStyle w:val="JuList"/>
      </w:pPr>
    </w:p>
    <w:p w:rsidR="00845CAF" w:rsidRPr="0072278C" w:rsidRDefault="00845CAF" w:rsidP="00845CAF">
      <w:pPr>
        <w:pStyle w:val="JuList"/>
      </w:pPr>
      <w:r>
        <w:t>3.  </w:t>
      </w:r>
      <w:r>
        <w:rPr>
          <w:i/>
        </w:rPr>
        <w:t>Приема</w:t>
      </w:r>
      <w:r>
        <w:t>, че е налице нарушение на чл. 13 от Конвенцията, разглеждан заедно с чл. 9;</w:t>
      </w:r>
    </w:p>
    <w:p w:rsidR="00845CAF" w:rsidRPr="0072278C" w:rsidRDefault="00845CAF">
      <w:pPr>
        <w:pStyle w:val="JuList"/>
      </w:pPr>
    </w:p>
    <w:p w:rsidR="00845CAF" w:rsidRPr="0072278C" w:rsidRDefault="00845CAF">
      <w:pPr>
        <w:pStyle w:val="JuList"/>
      </w:pPr>
      <w:r>
        <w:t>4.  </w:t>
      </w:r>
      <w:r>
        <w:rPr>
          <w:i/>
        </w:rPr>
        <w:t>Приема</w:t>
      </w:r>
      <w:r>
        <w:t>, че не е необходимо да се разглеждат оплакванията по чл. 8 и чл. 11 от Конвенцията;</w:t>
      </w:r>
    </w:p>
    <w:p w:rsidR="00845CAF" w:rsidRPr="0072278C" w:rsidRDefault="00845CAF">
      <w:pPr>
        <w:pStyle w:val="JuList"/>
      </w:pPr>
    </w:p>
    <w:p w:rsidR="00845CAF" w:rsidRDefault="00845CAF" w:rsidP="00845CAF">
      <w:pPr>
        <w:pStyle w:val="JuList"/>
      </w:pPr>
      <w:r>
        <w:t>5.  </w:t>
      </w:r>
      <w:r>
        <w:rPr>
          <w:i/>
        </w:rPr>
        <w:t>Приема</w:t>
      </w:r>
    </w:p>
    <w:p w:rsidR="00845CAF" w:rsidRPr="0072278C" w:rsidRDefault="00845CAF" w:rsidP="00845CAF">
      <w:pPr>
        <w:pStyle w:val="JuLista"/>
      </w:pPr>
      <w:r>
        <w:t>(а) че държавата-ответник трябва да заплати на жалбоподателката в срок от три месеца от датата, на която решението стане окончателно в съответствие с член 44, § 2 от Конвенцията, следните суми, които се изчисляват в български лева по курса към датата на плащането:</w:t>
      </w:r>
    </w:p>
    <w:p w:rsidR="00845CAF" w:rsidRPr="0072278C" w:rsidRDefault="00845CAF" w:rsidP="00845CAF">
      <w:pPr>
        <w:pStyle w:val="JuListi"/>
      </w:pPr>
      <w:r>
        <w:t>(i) 2 000 евро (две хиляди евро), плюс всякакви данъци, които биха могли да се начислят, по отношение на неимуществени вреди;</w:t>
      </w:r>
    </w:p>
    <w:p w:rsidR="00845CAF" w:rsidRPr="0072278C" w:rsidRDefault="00845CAF" w:rsidP="00845CAF">
      <w:pPr>
        <w:pStyle w:val="JuListi"/>
      </w:pPr>
      <w:r>
        <w:t>(ii) 2 000 евро (две хиляди евро), плюс всякакви данъци, които биха могли да се начислят, на жалбоподателката по отношение на разходи и разноски;</w:t>
      </w:r>
    </w:p>
    <w:p w:rsidR="00845CAF" w:rsidRPr="0072278C" w:rsidRDefault="00845CAF">
      <w:pPr>
        <w:pStyle w:val="JuLista"/>
      </w:pPr>
      <w:r>
        <w:t>(б) че от изтичането на упоменатия по-горе тримесечен срок до плащането се дължи проста лихва върху горепосочените суми в размер, равен на пределната ставка по заеми на Европейската централна банка по време на периода на забава, към която се добавят три процентни пункта;</w:t>
      </w:r>
    </w:p>
    <w:p w:rsidR="00845CAF" w:rsidRPr="0072278C" w:rsidRDefault="00845CAF">
      <w:pPr>
        <w:pStyle w:val="JuList"/>
      </w:pPr>
    </w:p>
    <w:p w:rsidR="00845CAF" w:rsidRPr="0072278C" w:rsidRDefault="00845CAF">
      <w:pPr>
        <w:pStyle w:val="JuList"/>
      </w:pPr>
      <w:r>
        <w:t>6.  </w:t>
      </w:r>
      <w:r>
        <w:rPr>
          <w:i/>
        </w:rPr>
        <w:t>Отхвърля</w:t>
      </w:r>
      <w:r>
        <w:t xml:space="preserve"> останалата част от иска на жалбоподателя за справедливо обезщетение.</w:t>
      </w:r>
    </w:p>
    <w:p w:rsidR="00845CAF" w:rsidRPr="0072278C" w:rsidRDefault="00845CAF" w:rsidP="00845CAF">
      <w:pPr>
        <w:pStyle w:val="JuParaLast"/>
      </w:pPr>
      <w:r>
        <w:lastRenderedPageBreak/>
        <w:t>Изготвено на английски език и оповестено писмено на 10 февруари 2015 г., в съответствие с Правило 77, §§ 2 и 3 от Правилника на Съда.</w:t>
      </w:r>
    </w:p>
    <w:p w:rsidR="00845CAF" w:rsidRPr="00D853D3" w:rsidRDefault="00845CAF" w:rsidP="00845CAF">
      <w:pPr>
        <w:pStyle w:val="JuSigned"/>
        <w:keepNext/>
        <w:keepLines/>
      </w:pPr>
      <w:r>
        <w:tab/>
        <w:t>Франсоаз Елен-Пасо</w:t>
      </w:r>
      <w:r>
        <w:tab/>
        <w:t>Гуидо Раймонди</w:t>
      </w:r>
      <w:r>
        <w:br/>
        <w:t>Секретар на отделението</w:t>
      </w:r>
      <w:r>
        <w:tab/>
        <w:t>Председател</w:t>
      </w:r>
    </w:p>
    <w:sectPr w:rsidR="00845CAF" w:rsidRPr="00D853D3" w:rsidSect="00845CAF">
      <w:headerReference w:type="even" r:id="rId14"/>
      <w:headerReference w:type="default" r:id="rId15"/>
      <w:footnotePr>
        <w:numRestart w:val="eachPage"/>
      </w:footnotePr>
      <w:pgSz w:w="11906" w:h="16838" w:code="9"/>
      <w:pgMar w:top="2274" w:right="2274" w:bottom="2274" w:left="2274" w:header="1701"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450" w:rsidRDefault="00897450">
      <w:r>
        <w:separator/>
      </w:r>
    </w:p>
  </w:endnote>
  <w:endnote w:type="continuationSeparator" w:id="0">
    <w:p w:rsidR="00897450" w:rsidRDefault="008974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CAF" w:rsidRDefault="00845C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CAF" w:rsidRDefault="00845C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CAF" w:rsidRPr="00150BFA" w:rsidRDefault="00B13115" w:rsidP="00845CAF">
    <w:pPr>
      <w:jc w:val="center"/>
    </w:pPr>
    <w:r>
      <w:rPr>
        <w:noProof/>
      </w:rPr>
      <w:drawing>
        <wp:inline distT="0" distB="0" distL="0" distR="0">
          <wp:extent cx="769620" cy="617220"/>
          <wp:effectExtent l="0" t="0" r="0" b="0"/>
          <wp:docPr id="2"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9620" cy="617220"/>
                  </a:xfrm>
                  <a:prstGeom prst="rect">
                    <a:avLst/>
                  </a:prstGeom>
                  <a:noFill/>
                  <a:ln>
                    <a:noFill/>
                  </a:ln>
                </pic:spPr>
              </pic:pic>
            </a:graphicData>
          </a:graphic>
        </wp:inline>
      </w:drawing>
    </w:r>
  </w:p>
  <w:p w:rsidR="00845CAF" w:rsidRDefault="00845C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450" w:rsidRDefault="00897450">
      <w:r>
        <w:separator/>
      </w:r>
    </w:p>
  </w:footnote>
  <w:footnote w:type="continuationSeparator" w:id="0">
    <w:p w:rsidR="00897450" w:rsidRDefault="008974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CAF" w:rsidRDefault="00845C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CAF" w:rsidRPr="00551235" w:rsidRDefault="00845CAF" w:rsidP="00845CAF">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CAF" w:rsidRPr="00A45145" w:rsidRDefault="00B13115" w:rsidP="00845CAF">
    <w:pPr>
      <w:jc w:val="center"/>
    </w:pPr>
    <w:r>
      <w:rPr>
        <w:noProof/>
      </w:rPr>
      <w:drawing>
        <wp:inline distT="0" distB="0" distL="0" distR="0">
          <wp:extent cx="2964180" cy="1219200"/>
          <wp:effectExtent l="0" t="0" r="0"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64180" cy="1219200"/>
                  </a:xfrm>
                  <a:prstGeom prst="rect">
                    <a:avLst/>
                  </a:prstGeom>
                  <a:noFill/>
                  <a:ln>
                    <a:noFill/>
                  </a:ln>
                </pic:spPr>
              </pic:pic>
            </a:graphicData>
          </a:graphic>
        </wp:inline>
      </w:drawing>
    </w:r>
  </w:p>
  <w:p w:rsidR="00845CAF" w:rsidRDefault="00845CA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CAF" w:rsidRPr="0001136E" w:rsidRDefault="00684AA9" w:rsidP="00845CAF">
    <w:pPr>
      <w:pStyle w:val="ECHRHeader"/>
    </w:pPr>
    <w:r>
      <w:rPr>
        <w:rStyle w:val="PageNumber"/>
      </w:rPr>
      <w:fldChar w:fldCharType="begin"/>
    </w:r>
    <w:r w:rsidR="00845CAF">
      <w:rPr>
        <w:rStyle w:val="PageNumber"/>
      </w:rPr>
      <w:instrText xml:space="preserve"> PAGE </w:instrText>
    </w:r>
    <w:r>
      <w:rPr>
        <w:rStyle w:val="PageNumber"/>
      </w:rPr>
      <w:fldChar w:fldCharType="separate"/>
    </w:r>
    <w:r w:rsidR="00E56032">
      <w:rPr>
        <w:rStyle w:val="PageNumber"/>
        <w:noProof/>
      </w:rPr>
      <w:t>2</w:t>
    </w:r>
    <w:r>
      <w:rPr>
        <w:rStyle w:val="PageNumber"/>
      </w:rPr>
      <w:fldChar w:fldCharType="end"/>
    </w:r>
    <w:r w:rsidR="00845CAF">
      <w:tab/>
      <w:t>РЕШЕНИЕ ДИМИТРОВА СРЕЩУ БЪЛГАРИЯ</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CAF" w:rsidRPr="0001136E" w:rsidRDefault="00845CAF" w:rsidP="00845CAF">
    <w:pPr>
      <w:pStyle w:val="ECHRHeader"/>
    </w:pPr>
    <w:r>
      <w:tab/>
      <w:t>РЕШЕНИЕ ДИМИТРОВА СРЕЩУ БЪЛГАРИЯ</w:t>
    </w:r>
    <w:r>
      <w:tab/>
    </w:r>
    <w:r w:rsidR="00684AA9">
      <w:rPr>
        <w:rStyle w:val="PageNumber"/>
      </w:rPr>
      <w:fldChar w:fldCharType="begin"/>
    </w:r>
    <w:r>
      <w:rPr>
        <w:rStyle w:val="PageNumber"/>
      </w:rPr>
      <w:instrText xml:space="preserve"> PAGE </w:instrText>
    </w:r>
    <w:r w:rsidR="00684AA9">
      <w:rPr>
        <w:rStyle w:val="PageNumber"/>
      </w:rPr>
      <w:fldChar w:fldCharType="separate"/>
    </w:r>
    <w:r w:rsidR="00E56032">
      <w:rPr>
        <w:rStyle w:val="PageNumber"/>
        <w:noProof/>
      </w:rPr>
      <w:t>1</w:t>
    </w:r>
    <w:r w:rsidR="00684AA9">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nsid w:val="0066004F"/>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A4A6C79"/>
    <w:multiLevelType w:val="multilevel"/>
    <w:tmpl w:val="2FC04DA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bullet"/>
      <w:lvlText w:val=""/>
      <w:lvlJc w:val="left"/>
      <w:pPr>
        <w:ind w:left="2520" w:hanging="360"/>
      </w:pPr>
      <w:rPr>
        <w:rFonts w:ascii="Symbol" w:hAnsi="Symbol" w:hint="default"/>
        <w:color w:val="0072BC"/>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B3A5857"/>
    <w:multiLevelType w:val="multilevel"/>
    <w:tmpl w:val="8BD6362E"/>
    <w:lvl w:ilvl="0">
      <w:start w:val="1"/>
      <w:numFmt w:val="upperRoman"/>
      <w:suff w:val="nothing"/>
      <w:lvlText w:val="%1.  "/>
      <w:lvlJc w:val="left"/>
      <w:pPr>
        <w:ind w:left="0" w:firstLine="0"/>
      </w:pPr>
      <w:rPr>
        <w:rFonts w:hint="default"/>
      </w:rPr>
    </w:lvl>
    <w:lvl w:ilvl="1">
      <w:start w:val="1"/>
      <w:numFmt w:val="upperLetter"/>
      <w:lvlText w:val="%2."/>
      <w:lvlJc w:val="left"/>
      <w:pPr>
        <w:ind w:left="454" w:hanging="227"/>
      </w:pPr>
      <w:rPr>
        <w:rFonts w:hint="default"/>
      </w:rPr>
    </w:lvl>
    <w:lvl w:ilvl="2">
      <w:start w:val="1"/>
      <w:numFmt w:val="decimal"/>
      <w:lvlText w:val="%3."/>
      <w:lvlJc w:val="left"/>
      <w:pPr>
        <w:ind w:left="680" w:hanging="226"/>
      </w:pPr>
      <w:rPr>
        <w:rFonts w:hint="default"/>
      </w:rPr>
    </w:lvl>
    <w:lvl w:ilvl="3">
      <w:start w:val="1"/>
      <w:numFmt w:val="lowerLetter"/>
      <w:lvlText w:val="(%4)"/>
      <w:lvlJc w:val="left"/>
      <w:pPr>
        <w:ind w:left="1361" w:hanging="681"/>
      </w:pPr>
      <w:rPr>
        <w:rFonts w:hint="default"/>
      </w:rPr>
    </w:lvl>
    <w:lvl w:ilvl="4">
      <w:start w:val="1"/>
      <w:numFmt w:val="lowerRoman"/>
      <w:suff w:val="nothing"/>
      <w:lvlText w:val="(%5)  "/>
      <w:lvlJc w:val="left"/>
      <w:pPr>
        <w:ind w:left="1361" w:firstLine="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DB92CFA"/>
    <w:multiLevelType w:val="hybridMultilevel"/>
    <w:tmpl w:val="513A807C"/>
    <w:lvl w:ilvl="0" w:tplc="74D234A6">
      <w:start w:val="1"/>
      <w:numFmt w:val="lowerLetter"/>
      <w:lvlText w:val="(%1)"/>
      <w:lvlJc w:val="left"/>
      <w:pPr>
        <w:ind w:left="720" w:hanging="360"/>
      </w:pPr>
      <w:rPr>
        <w:rFonts w:hint="default"/>
      </w:rPr>
    </w:lvl>
    <w:lvl w:ilvl="1" w:tplc="2888447E" w:tentative="1">
      <w:start w:val="1"/>
      <w:numFmt w:val="lowerLetter"/>
      <w:lvlText w:val="%2."/>
      <w:lvlJc w:val="left"/>
      <w:pPr>
        <w:ind w:left="1440" w:hanging="360"/>
      </w:pPr>
    </w:lvl>
    <w:lvl w:ilvl="2" w:tplc="0F581152" w:tentative="1">
      <w:start w:val="1"/>
      <w:numFmt w:val="lowerRoman"/>
      <w:lvlText w:val="%3."/>
      <w:lvlJc w:val="right"/>
      <w:pPr>
        <w:ind w:left="2160" w:hanging="180"/>
      </w:pPr>
    </w:lvl>
    <w:lvl w:ilvl="3" w:tplc="E87C7B2A" w:tentative="1">
      <w:start w:val="1"/>
      <w:numFmt w:val="decimal"/>
      <w:lvlText w:val="%4."/>
      <w:lvlJc w:val="left"/>
      <w:pPr>
        <w:ind w:left="2880" w:hanging="360"/>
      </w:pPr>
    </w:lvl>
    <w:lvl w:ilvl="4" w:tplc="90AE0FD0" w:tentative="1">
      <w:start w:val="1"/>
      <w:numFmt w:val="lowerLetter"/>
      <w:lvlText w:val="%5."/>
      <w:lvlJc w:val="left"/>
      <w:pPr>
        <w:ind w:left="3600" w:hanging="360"/>
      </w:pPr>
    </w:lvl>
    <w:lvl w:ilvl="5" w:tplc="06986260" w:tentative="1">
      <w:start w:val="1"/>
      <w:numFmt w:val="lowerRoman"/>
      <w:lvlText w:val="%6."/>
      <w:lvlJc w:val="right"/>
      <w:pPr>
        <w:ind w:left="4320" w:hanging="180"/>
      </w:pPr>
    </w:lvl>
    <w:lvl w:ilvl="6" w:tplc="6F72EE2E" w:tentative="1">
      <w:start w:val="1"/>
      <w:numFmt w:val="decimal"/>
      <w:lvlText w:val="%7."/>
      <w:lvlJc w:val="left"/>
      <w:pPr>
        <w:ind w:left="5040" w:hanging="360"/>
      </w:pPr>
    </w:lvl>
    <w:lvl w:ilvl="7" w:tplc="13C02B34" w:tentative="1">
      <w:start w:val="1"/>
      <w:numFmt w:val="lowerLetter"/>
      <w:lvlText w:val="%8."/>
      <w:lvlJc w:val="left"/>
      <w:pPr>
        <w:ind w:left="5760" w:hanging="360"/>
      </w:pPr>
    </w:lvl>
    <w:lvl w:ilvl="8" w:tplc="ADB44A9A" w:tentative="1">
      <w:start w:val="1"/>
      <w:numFmt w:val="lowerRoman"/>
      <w:lvlText w:val="%9."/>
      <w:lvlJc w:val="right"/>
      <w:pPr>
        <w:ind w:left="6480" w:hanging="180"/>
      </w:pPr>
    </w:lvl>
  </w:abstractNum>
  <w:abstractNum w:abstractNumId="13">
    <w:nsid w:val="10B35A03"/>
    <w:multiLevelType w:val="multilevel"/>
    <w:tmpl w:val="BC84849E"/>
    <w:lvl w:ilvl="0">
      <w:start w:val="1"/>
      <w:numFmt w:val="lowerLetter"/>
      <w:suff w:val="nothing"/>
      <w:lvlText w:val="(%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15053EB"/>
    <w:multiLevelType w:val="multilevel"/>
    <w:tmpl w:val="941CA410"/>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suff w:val="nothing"/>
      <w:lvlText w:val="(%5)  "/>
      <w:lvlJc w:val="left"/>
      <w:pPr>
        <w:ind w:left="1191"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63F153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9ED3C69"/>
    <w:multiLevelType w:val="multilevel"/>
    <w:tmpl w:val="FF7A8054"/>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B3D29CF"/>
    <w:multiLevelType w:val="multilevel"/>
    <w:tmpl w:val="10F4A786"/>
    <w:lvl w:ilvl="0">
      <w:start w:val="1"/>
      <w:numFmt w:val="decimal"/>
      <w:suff w:val="nothing"/>
      <w:lvlText w:val="%1.  "/>
      <w:lvlJc w:val="left"/>
      <w:pPr>
        <w:ind w:left="284" w:hanging="284"/>
      </w:pPr>
      <w:rPr>
        <w:rFonts w:hint="default"/>
      </w:rPr>
    </w:lvl>
    <w:lvl w:ilvl="1">
      <w:start w:val="1"/>
      <w:numFmt w:val="lowerLetter"/>
      <w:suff w:val="nothing"/>
      <w:lvlText w:val="(%2)  "/>
      <w:lvlJc w:val="left"/>
      <w:pPr>
        <w:ind w:left="284" w:firstLine="0"/>
      </w:pPr>
      <w:rPr>
        <w:rFonts w:hint="default"/>
      </w:rPr>
    </w:lvl>
    <w:lvl w:ilvl="2">
      <w:start w:val="1"/>
      <w:numFmt w:val="lowerRoman"/>
      <w:suff w:val="nothing"/>
      <w:lvlText w:val="(%3)  "/>
      <w:lvlJc w:val="left"/>
      <w:pPr>
        <w:ind w:left="680" w:firstLine="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20324D93"/>
    <w:multiLevelType w:val="hybridMultilevel"/>
    <w:tmpl w:val="F7D68528"/>
    <w:lvl w:ilvl="0" w:tplc="DE38C574">
      <w:start w:val="1"/>
      <w:numFmt w:val="upperRoman"/>
      <w:lvlText w:val="%1."/>
      <w:lvlJc w:val="left"/>
      <w:pPr>
        <w:ind w:left="1080" w:hanging="720"/>
      </w:pPr>
      <w:rPr>
        <w:rFonts w:hint="default"/>
      </w:rPr>
    </w:lvl>
    <w:lvl w:ilvl="1" w:tplc="AF58349E" w:tentative="1">
      <w:start w:val="1"/>
      <w:numFmt w:val="lowerLetter"/>
      <w:lvlText w:val="%2."/>
      <w:lvlJc w:val="left"/>
      <w:pPr>
        <w:ind w:left="1440" w:hanging="360"/>
      </w:pPr>
    </w:lvl>
    <w:lvl w:ilvl="2" w:tplc="DF90133E" w:tentative="1">
      <w:start w:val="1"/>
      <w:numFmt w:val="lowerRoman"/>
      <w:lvlText w:val="%3."/>
      <w:lvlJc w:val="right"/>
      <w:pPr>
        <w:ind w:left="2160" w:hanging="180"/>
      </w:pPr>
    </w:lvl>
    <w:lvl w:ilvl="3" w:tplc="8C2CF480" w:tentative="1">
      <w:start w:val="1"/>
      <w:numFmt w:val="decimal"/>
      <w:lvlText w:val="%4."/>
      <w:lvlJc w:val="left"/>
      <w:pPr>
        <w:ind w:left="2880" w:hanging="360"/>
      </w:pPr>
    </w:lvl>
    <w:lvl w:ilvl="4" w:tplc="8D86DB68" w:tentative="1">
      <w:start w:val="1"/>
      <w:numFmt w:val="lowerLetter"/>
      <w:lvlText w:val="%5."/>
      <w:lvlJc w:val="left"/>
      <w:pPr>
        <w:ind w:left="3600" w:hanging="360"/>
      </w:pPr>
    </w:lvl>
    <w:lvl w:ilvl="5" w:tplc="BF3257EA" w:tentative="1">
      <w:start w:val="1"/>
      <w:numFmt w:val="lowerRoman"/>
      <w:lvlText w:val="%6."/>
      <w:lvlJc w:val="right"/>
      <w:pPr>
        <w:ind w:left="4320" w:hanging="180"/>
      </w:pPr>
    </w:lvl>
    <w:lvl w:ilvl="6" w:tplc="42483A8E" w:tentative="1">
      <w:start w:val="1"/>
      <w:numFmt w:val="decimal"/>
      <w:lvlText w:val="%7."/>
      <w:lvlJc w:val="left"/>
      <w:pPr>
        <w:ind w:left="5040" w:hanging="360"/>
      </w:pPr>
    </w:lvl>
    <w:lvl w:ilvl="7" w:tplc="CC3807BE" w:tentative="1">
      <w:start w:val="1"/>
      <w:numFmt w:val="lowerLetter"/>
      <w:lvlText w:val="%8."/>
      <w:lvlJc w:val="left"/>
      <w:pPr>
        <w:ind w:left="5760" w:hanging="360"/>
      </w:pPr>
    </w:lvl>
    <w:lvl w:ilvl="8" w:tplc="456CCEAA" w:tentative="1">
      <w:start w:val="1"/>
      <w:numFmt w:val="lowerRoman"/>
      <w:lvlText w:val="%9."/>
      <w:lvlJc w:val="right"/>
      <w:pPr>
        <w:ind w:left="6480" w:hanging="180"/>
      </w:pPr>
    </w:lvl>
  </w:abstractNum>
  <w:abstractNum w:abstractNumId="19">
    <w:nsid w:val="22777587"/>
    <w:multiLevelType w:val="multilevel"/>
    <w:tmpl w:val="49549606"/>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58756B5"/>
    <w:multiLevelType w:val="multilevel"/>
    <w:tmpl w:val="F8A68542"/>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9AB3FB9"/>
    <w:multiLevelType w:val="multilevel"/>
    <w:tmpl w:val="7A6AC2C8"/>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upperRoman"/>
      <w:lvlText w:val="%7"/>
      <w:lvlJc w:val="left"/>
      <w:pPr>
        <w:tabs>
          <w:tab w:val="num" w:pos="1985"/>
        </w:tabs>
        <w:ind w:left="1985" w:hanging="227"/>
      </w:pPr>
      <w:rPr>
        <w:rFonts w:ascii="Symbol" w:hAnsi="Symbol" w:hint="default"/>
        <w:strike w:val="0"/>
        <w:dstrike w:val="0"/>
        <w:color w:val="auto"/>
        <w:sz w:val="28"/>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2B9959AD"/>
    <w:multiLevelType w:val="multilevel"/>
    <w:tmpl w:val="E102B54A"/>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Roman"/>
      <w:lvlText w:val="%7"/>
      <w:lvlJc w:val="left"/>
      <w:pPr>
        <w:ind w:left="2520" w:hanging="360"/>
      </w:pPr>
      <w:rPr>
        <w:rFonts w:hint="default"/>
        <w:color w:val="0072BC"/>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0B42C89"/>
    <w:multiLevelType w:val="hybridMultilevel"/>
    <w:tmpl w:val="CFB02226"/>
    <w:lvl w:ilvl="0" w:tplc="274859D8">
      <w:start w:val="1"/>
      <w:numFmt w:val="lowerLetter"/>
      <w:lvlText w:val="(%1)"/>
      <w:lvlJc w:val="left"/>
      <w:pPr>
        <w:ind w:left="720" w:hanging="360"/>
      </w:pPr>
      <w:rPr>
        <w:rFonts w:hint="default"/>
      </w:rPr>
    </w:lvl>
    <w:lvl w:ilvl="1" w:tplc="0768837E" w:tentative="1">
      <w:start w:val="1"/>
      <w:numFmt w:val="lowerLetter"/>
      <w:lvlText w:val="%2."/>
      <w:lvlJc w:val="left"/>
      <w:pPr>
        <w:ind w:left="1440" w:hanging="360"/>
      </w:pPr>
    </w:lvl>
    <w:lvl w:ilvl="2" w:tplc="1AE87F82" w:tentative="1">
      <w:start w:val="1"/>
      <w:numFmt w:val="lowerRoman"/>
      <w:lvlText w:val="%3."/>
      <w:lvlJc w:val="right"/>
      <w:pPr>
        <w:ind w:left="2160" w:hanging="180"/>
      </w:pPr>
    </w:lvl>
    <w:lvl w:ilvl="3" w:tplc="33CA2738" w:tentative="1">
      <w:start w:val="1"/>
      <w:numFmt w:val="decimal"/>
      <w:lvlText w:val="%4."/>
      <w:lvlJc w:val="left"/>
      <w:pPr>
        <w:ind w:left="2880" w:hanging="360"/>
      </w:pPr>
    </w:lvl>
    <w:lvl w:ilvl="4" w:tplc="FD08D6E6" w:tentative="1">
      <w:start w:val="1"/>
      <w:numFmt w:val="lowerLetter"/>
      <w:lvlText w:val="%5."/>
      <w:lvlJc w:val="left"/>
      <w:pPr>
        <w:ind w:left="3600" w:hanging="360"/>
      </w:pPr>
    </w:lvl>
    <w:lvl w:ilvl="5" w:tplc="F51A703C" w:tentative="1">
      <w:start w:val="1"/>
      <w:numFmt w:val="lowerRoman"/>
      <w:lvlText w:val="%6."/>
      <w:lvlJc w:val="right"/>
      <w:pPr>
        <w:ind w:left="4320" w:hanging="180"/>
      </w:pPr>
    </w:lvl>
    <w:lvl w:ilvl="6" w:tplc="0DB41386" w:tentative="1">
      <w:start w:val="1"/>
      <w:numFmt w:val="decimal"/>
      <w:lvlText w:val="%7."/>
      <w:lvlJc w:val="left"/>
      <w:pPr>
        <w:ind w:left="5040" w:hanging="360"/>
      </w:pPr>
    </w:lvl>
    <w:lvl w:ilvl="7" w:tplc="38FC7B58" w:tentative="1">
      <w:start w:val="1"/>
      <w:numFmt w:val="lowerLetter"/>
      <w:lvlText w:val="%8."/>
      <w:lvlJc w:val="left"/>
      <w:pPr>
        <w:ind w:left="5760" w:hanging="360"/>
      </w:pPr>
    </w:lvl>
    <w:lvl w:ilvl="8" w:tplc="7958C242" w:tentative="1">
      <w:start w:val="1"/>
      <w:numFmt w:val="lowerRoman"/>
      <w:lvlText w:val="%9."/>
      <w:lvlJc w:val="right"/>
      <w:pPr>
        <w:ind w:left="6480" w:hanging="180"/>
      </w:pPr>
    </w:lvl>
  </w:abstractNum>
  <w:abstractNum w:abstractNumId="24">
    <w:nsid w:val="3134506C"/>
    <w:multiLevelType w:val="multilevel"/>
    <w:tmpl w:val="F288E2F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tabs>
          <w:tab w:val="num" w:pos="1191"/>
        </w:tabs>
        <w:ind w:left="119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74D47F6"/>
    <w:multiLevelType w:val="multilevel"/>
    <w:tmpl w:val="29C02C80"/>
    <w:lvl w:ilvl="0">
      <w:start w:val="1"/>
      <w:numFmt w:val="decimal"/>
      <w:lvlText w:val="%1."/>
      <w:lvlJc w:val="left"/>
      <w:pPr>
        <w:ind w:left="346" w:hanging="346"/>
      </w:pPr>
      <w:rPr>
        <w:rFonts w:hint="default"/>
      </w:rPr>
    </w:lvl>
    <w:lvl w:ilvl="1">
      <w:start w:val="1"/>
      <w:numFmt w:val="lowerLetter"/>
      <w:lvlText w:val="(%2)"/>
      <w:lvlJc w:val="left"/>
      <w:pPr>
        <w:tabs>
          <w:tab w:val="num" w:pos="851"/>
        </w:tabs>
        <w:ind w:left="346" w:firstLine="0"/>
      </w:pPr>
      <w:rPr>
        <w:rFonts w:hint="default"/>
      </w:rPr>
    </w:lvl>
    <w:lvl w:ilvl="2">
      <w:start w:val="1"/>
      <w:numFmt w:val="lowerRoman"/>
      <w:lvlText w:val="(%3)"/>
      <w:lvlJc w:val="left"/>
      <w:pPr>
        <w:tabs>
          <w:tab w:val="num" w:pos="1361"/>
        </w:tabs>
        <w:ind w:left="851"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388D47DE"/>
    <w:multiLevelType w:val="multilevel"/>
    <w:tmpl w:val="F7F2C62E"/>
    <w:lvl w:ilvl="0">
      <w:start w:val="1"/>
      <w:numFmt w:val="decimal"/>
      <w:lvlText w:val="%1."/>
      <w:lvlJc w:val="left"/>
      <w:pPr>
        <w:ind w:left="1021"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3E85438D"/>
    <w:multiLevelType w:val="multilevel"/>
    <w:tmpl w:val="73BC578A"/>
    <w:lvl w:ilvl="0">
      <w:start w:val="1"/>
      <w:numFmt w:val="upperRoman"/>
      <w:suff w:val="nothing"/>
      <w:lvlText w:val="%1.  "/>
      <w:lvlJc w:val="left"/>
      <w:pPr>
        <w:ind w:left="227" w:hanging="227"/>
      </w:pPr>
      <w:rPr>
        <w:rFonts w:hint="default"/>
      </w:rPr>
    </w:lvl>
    <w:lvl w:ilvl="1">
      <w:start w:val="1"/>
      <w:numFmt w:val="upperLetter"/>
      <w:suff w:val="nothing"/>
      <w:lvlText w:val="%2.  "/>
      <w:lvlJc w:val="left"/>
      <w:pPr>
        <w:ind w:left="510" w:hanging="283"/>
      </w:pPr>
      <w:rPr>
        <w:rFonts w:hint="default"/>
      </w:rPr>
    </w:lvl>
    <w:lvl w:ilvl="2">
      <w:start w:val="1"/>
      <w:numFmt w:val="decimal"/>
      <w:suff w:val="nothing"/>
      <w:lvlText w:val="%3.  "/>
      <w:lvlJc w:val="left"/>
      <w:pPr>
        <w:ind w:left="794" w:hanging="284"/>
      </w:pPr>
      <w:rPr>
        <w:rFonts w:hint="default"/>
      </w:rPr>
    </w:lvl>
    <w:lvl w:ilvl="3">
      <w:start w:val="1"/>
      <w:numFmt w:val="lowerLetter"/>
      <w:suff w:val="nothing"/>
      <w:lvlText w:val="(%4)  "/>
      <w:lvlJc w:val="left"/>
      <w:pPr>
        <w:ind w:left="1077" w:hanging="283"/>
      </w:pPr>
      <w:rPr>
        <w:rFonts w:hint="default"/>
      </w:rPr>
    </w:lvl>
    <w:lvl w:ilvl="4">
      <w:start w:val="1"/>
      <w:numFmt w:val="lowerRoman"/>
      <w:lvlText w:val="(%5)  "/>
      <w:lvlJc w:val="left"/>
      <w:pPr>
        <w:ind w:left="1304" w:hanging="227"/>
      </w:pPr>
      <w:rPr>
        <w:rFonts w:hint="default"/>
      </w:rPr>
    </w:lvl>
    <w:lvl w:ilvl="5">
      <w:start w:val="1"/>
      <w:numFmt w:val="lowerLetter"/>
      <w:suff w:val="nothing"/>
      <w:lvlText w:val="(%6  "/>
      <w:lvlJc w:val="left"/>
      <w:pPr>
        <w:ind w:left="1644" w:hanging="340"/>
      </w:pPr>
      <w:rPr>
        <w:rFonts w:ascii="Symbol" w:hAnsi="Symbol" w:hint="default"/>
      </w:rPr>
    </w:lvl>
    <w:lvl w:ilvl="6">
      <w:start w:val="1"/>
      <w:numFmt w:val="bullet"/>
      <w:suff w:val="space"/>
      <w:lvlText w:val=""/>
      <w:lvlJc w:val="left"/>
      <w:pPr>
        <w:ind w:left="1814" w:hanging="17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13377FF"/>
    <w:multiLevelType w:val="multilevel"/>
    <w:tmpl w:val="EDC8B6AA"/>
    <w:lvl w:ilvl="0">
      <w:start w:val="1"/>
      <w:numFmt w:val="decimal"/>
      <w:lvlText w:val="%1."/>
      <w:lvlJc w:val="left"/>
      <w:pPr>
        <w:tabs>
          <w:tab w:val="num" w:pos="680"/>
        </w:tabs>
        <w:ind w:left="680"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4E25784"/>
    <w:multiLevelType w:val="multilevel"/>
    <w:tmpl w:val="165083BE"/>
    <w:lvl w:ilvl="0">
      <w:start w:val="1"/>
      <w:numFmt w:val="decimal"/>
      <w:suff w:val="nothing"/>
      <w:lvlText w:val="%1.  "/>
      <w:lvlJc w:val="left"/>
      <w:pPr>
        <w:ind w:left="284" w:hanging="284"/>
      </w:pPr>
      <w:rPr>
        <w:rFonts w:hint="default"/>
      </w:rPr>
    </w:lvl>
    <w:lvl w:ilvl="1">
      <w:start w:val="1"/>
      <w:numFmt w:val="lowerLetter"/>
      <w:suff w:val="nothing"/>
      <w:lvlText w:val="(%2)  "/>
      <w:lvlJc w:val="left"/>
      <w:pPr>
        <w:ind w:left="284" w:firstLine="0"/>
      </w:pPr>
      <w:rPr>
        <w:rFonts w:hint="default"/>
      </w:rPr>
    </w:lvl>
    <w:lvl w:ilvl="2">
      <w:start w:val="1"/>
      <w:numFmt w:val="lowerRoman"/>
      <w:suff w:val="nothing"/>
      <w:lvlText w:val="(%3)  "/>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460B61A5"/>
    <w:multiLevelType w:val="multilevel"/>
    <w:tmpl w:val="11FA262C"/>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Roman"/>
      <w:lvlText w:val="%7"/>
      <w:lvlJc w:val="left"/>
      <w:pPr>
        <w:ind w:left="2520" w:hanging="360"/>
      </w:pPr>
      <w:rPr>
        <w:rFonts w:ascii="Wingdings 3" w:hAnsi="Wingdings 3"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62F4708"/>
    <w:multiLevelType w:val="multilevel"/>
    <w:tmpl w:val="8BD6362E"/>
    <w:lvl w:ilvl="0">
      <w:start w:val="1"/>
      <w:numFmt w:val="upperRoman"/>
      <w:suff w:val="nothing"/>
      <w:lvlText w:val="%1.  "/>
      <w:lvlJc w:val="left"/>
      <w:pPr>
        <w:ind w:left="0" w:firstLine="0"/>
      </w:pPr>
      <w:rPr>
        <w:rFonts w:hint="default"/>
      </w:rPr>
    </w:lvl>
    <w:lvl w:ilvl="1">
      <w:start w:val="1"/>
      <w:numFmt w:val="upperLetter"/>
      <w:lvlText w:val="%2."/>
      <w:lvlJc w:val="left"/>
      <w:pPr>
        <w:ind w:left="454" w:hanging="227"/>
      </w:pPr>
      <w:rPr>
        <w:rFonts w:hint="default"/>
      </w:rPr>
    </w:lvl>
    <w:lvl w:ilvl="2">
      <w:start w:val="1"/>
      <w:numFmt w:val="decimal"/>
      <w:lvlText w:val="%3."/>
      <w:lvlJc w:val="left"/>
      <w:pPr>
        <w:ind w:left="680" w:hanging="226"/>
      </w:pPr>
      <w:rPr>
        <w:rFonts w:hint="default"/>
      </w:rPr>
    </w:lvl>
    <w:lvl w:ilvl="3">
      <w:start w:val="1"/>
      <w:numFmt w:val="lowerLetter"/>
      <w:lvlText w:val="(%4)"/>
      <w:lvlJc w:val="left"/>
      <w:pPr>
        <w:ind w:left="1361" w:hanging="681"/>
      </w:pPr>
      <w:rPr>
        <w:rFonts w:hint="default"/>
      </w:rPr>
    </w:lvl>
    <w:lvl w:ilvl="4">
      <w:start w:val="1"/>
      <w:numFmt w:val="lowerRoman"/>
      <w:suff w:val="nothing"/>
      <w:lvlText w:val="(%5)  "/>
      <w:lvlJc w:val="left"/>
      <w:pPr>
        <w:ind w:left="1361" w:firstLine="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D1F59D2"/>
    <w:multiLevelType w:val="hybridMultilevel"/>
    <w:tmpl w:val="4582FBFC"/>
    <w:lvl w:ilvl="0" w:tplc="01B03246">
      <w:start w:val="1"/>
      <w:numFmt w:val="lowerLetter"/>
      <w:lvlText w:val="(%1)"/>
      <w:lvlJc w:val="left"/>
      <w:pPr>
        <w:ind w:left="720" w:hanging="360"/>
      </w:pPr>
      <w:rPr>
        <w:rFonts w:hint="default"/>
      </w:rPr>
    </w:lvl>
    <w:lvl w:ilvl="1" w:tplc="300A7FEC" w:tentative="1">
      <w:start w:val="1"/>
      <w:numFmt w:val="lowerLetter"/>
      <w:lvlText w:val="%2."/>
      <w:lvlJc w:val="left"/>
      <w:pPr>
        <w:ind w:left="1440" w:hanging="360"/>
      </w:pPr>
    </w:lvl>
    <w:lvl w:ilvl="2" w:tplc="0E7AB616" w:tentative="1">
      <w:start w:val="1"/>
      <w:numFmt w:val="lowerRoman"/>
      <w:lvlText w:val="%3."/>
      <w:lvlJc w:val="right"/>
      <w:pPr>
        <w:ind w:left="2160" w:hanging="180"/>
      </w:pPr>
    </w:lvl>
    <w:lvl w:ilvl="3" w:tplc="FC5AB96E" w:tentative="1">
      <w:start w:val="1"/>
      <w:numFmt w:val="decimal"/>
      <w:lvlText w:val="%4."/>
      <w:lvlJc w:val="left"/>
      <w:pPr>
        <w:ind w:left="2880" w:hanging="360"/>
      </w:pPr>
    </w:lvl>
    <w:lvl w:ilvl="4" w:tplc="3990C710" w:tentative="1">
      <w:start w:val="1"/>
      <w:numFmt w:val="lowerLetter"/>
      <w:lvlText w:val="%5."/>
      <w:lvlJc w:val="left"/>
      <w:pPr>
        <w:ind w:left="3600" w:hanging="360"/>
      </w:pPr>
    </w:lvl>
    <w:lvl w:ilvl="5" w:tplc="59429A3C" w:tentative="1">
      <w:start w:val="1"/>
      <w:numFmt w:val="lowerRoman"/>
      <w:lvlText w:val="%6."/>
      <w:lvlJc w:val="right"/>
      <w:pPr>
        <w:ind w:left="4320" w:hanging="180"/>
      </w:pPr>
    </w:lvl>
    <w:lvl w:ilvl="6" w:tplc="5D7AAE2C" w:tentative="1">
      <w:start w:val="1"/>
      <w:numFmt w:val="decimal"/>
      <w:lvlText w:val="%7."/>
      <w:lvlJc w:val="left"/>
      <w:pPr>
        <w:ind w:left="5040" w:hanging="360"/>
      </w:pPr>
    </w:lvl>
    <w:lvl w:ilvl="7" w:tplc="563A532C" w:tentative="1">
      <w:start w:val="1"/>
      <w:numFmt w:val="lowerLetter"/>
      <w:lvlText w:val="%8."/>
      <w:lvlJc w:val="left"/>
      <w:pPr>
        <w:ind w:left="5760" w:hanging="360"/>
      </w:pPr>
    </w:lvl>
    <w:lvl w:ilvl="8" w:tplc="2BCEE1B0" w:tentative="1">
      <w:start w:val="1"/>
      <w:numFmt w:val="lowerRoman"/>
      <w:lvlText w:val="%9."/>
      <w:lvlJc w:val="right"/>
      <w:pPr>
        <w:ind w:left="6480" w:hanging="180"/>
      </w:pPr>
    </w:lvl>
  </w:abstractNum>
  <w:abstractNum w:abstractNumId="33">
    <w:nsid w:val="4DA02EFE"/>
    <w:multiLevelType w:val="multilevel"/>
    <w:tmpl w:val="F42CEE52"/>
    <w:lvl w:ilvl="0">
      <w:start w:val="1"/>
      <w:numFmt w:val="decimal"/>
      <w:lvlText w:val="%1."/>
      <w:lvlJc w:val="left"/>
      <w:pPr>
        <w:ind w:left="284" w:hanging="284"/>
      </w:pPr>
      <w:rPr>
        <w:rFonts w:hint="default"/>
      </w:rPr>
    </w:lvl>
    <w:lvl w:ilvl="1">
      <w:start w:val="1"/>
      <w:numFmt w:val="lowerLetter"/>
      <w:lvlText w:val="(%2)"/>
      <w:lvlJc w:val="left"/>
      <w:pPr>
        <w:tabs>
          <w:tab w:val="num" w:pos="680"/>
        </w:tabs>
        <w:ind w:left="284" w:firstLine="0"/>
      </w:pPr>
      <w:rPr>
        <w:rFonts w:hint="default"/>
      </w:rPr>
    </w:lvl>
    <w:lvl w:ilvl="2">
      <w:start w:val="1"/>
      <w:numFmt w:val="lowerRoman"/>
      <w:suff w:val="nothing"/>
      <w:lvlText w:val="(%3)  "/>
      <w:lvlJc w:val="left"/>
      <w:pPr>
        <w:ind w:left="680" w:firstLine="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4E8C0CF9"/>
    <w:multiLevelType w:val="multilevel"/>
    <w:tmpl w:val="090EC1BE"/>
    <w:lvl w:ilvl="0">
      <w:start w:val="1"/>
      <w:numFmt w:val="upperRoman"/>
      <w:lvlText w:val="%1."/>
      <w:lvlJc w:val="left"/>
      <w:pPr>
        <w:ind w:left="346" w:hanging="346"/>
      </w:pPr>
      <w:rPr>
        <w:rFonts w:hint="default"/>
      </w:rPr>
    </w:lvl>
    <w:lvl w:ilvl="1">
      <w:start w:val="1"/>
      <w:numFmt w:val="upperLetter"/>
      <w:lvlText w:val="%2."/>
      <w:lvlJc w:val="left"/>
      <w:pPr>
        <w:ind w:left="56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06B6FCB"/>
    <w:multiLevelType w:val="multilevel"/>
    <w:tmpl w:val="067E4BA6"/>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52FB1EA6"/>
    <w:multiLevelType w:val="multilevel"/>
    <w:tmpl w:val="B1545D7A"/>
    <w:lvl w:ilvl="0">
      <w:start w:val="1"/>
      <w:numFmt w:val="decimal"/>
      <w:lvlText w:val="%1."/>
      <w:lvlJc w:val="left"/>
      <w:pPr>
        <w:ind w:left="340" w:hanging="340"/>
      </w:pPr>
      <w:rPr>
        <w:rFonts w:hint="default"/>
      </w:rPr>
    </w:lvl>
    <w:lvl w:ilvl="1">
      <w:start w:val="1"/>
      <w:numFmt w:val="lowerLetter"/>
      <w:lvlText w:val="(%2)"/>
      <w:lvlJc w:val="left"/>
      <w:pPr>
        <w:tabs>
          <w:tab w:val="num" w:pos="680"/>
        </w:tabs>
        <w:ind w:left="34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54812F33"/>
    <w:multiLevelType w:val="multilevel"/>
    <w:tmpl w:val="CD6E7908"/>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none"/>
      <w:lvlText w:val="%7–"/>
      <w:lvlJc w:val="left"/>
      <w:pPr>
        <w:tabs>
          <w:tab w:val="num" w:pos="1985"/>
        </w:tabs>
        <w:ind w:left="1985" w:hanging="227"/>
      </w:pPr>
      <w:rPr>
        <w:rFonts w:ascii="Times New Roman" w:hAnsi="Times New Roman" w:hint="default"/>
        <w:color w:val="000000"/>
        <w:sz w:val="28"/>
      </w:rPr>
    </w:lvl>
    <w:lvl w:ilvl="7">
      <w:start w:val="1"/>
      <w:numFmt w:val="none"/>
      <w:lvlText w:val="%8."/>
      <w:lvlJc w:val="left"/>
      <w:pPr>
        <w:ind w:left="2880" w:hanging="360"/>
      </w:pPr>
      <w:rPr>
        <w:rFonts w:ascii="Times New Roman" w:hAnsi="Times New Roman" w:hint="default"/>
        <w:strike w:val="0"/>
        <w:dstrike w:val="0"/>
        <w:color w:val="000000"/>
        <w:sz w:val="28"/>
        <w:vertAlign w:val="baseline"/>
      </w:rPr>
    </w:lvl>
    <w:lvl w:ilvl="8">
      <w:start w:val="1"/>
      <w:numFmt w:val="lowerRoman"/>
      <w:lvlText w:val="%9."/>
      <w:lvlJc w:val="left"/>
      <w:pPr>
        <w:ind w:left="3240" w:hanging="360"/>
      </w:pPr>
      <w:rPr>
        <w:rFonts w:hint="default"/>
      </w:rPr>
    </w:lvl>
  </w:abstractNum>
  <w:abstractNum w:abstractNumId="38">
    <w:nsid w:val="5A7B5D2C"/>
    <w:multiLevelType w:val="multilevel"/>
    <w:tmpl w:val="0A7CB2D0"/>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61FE1C04"/>
    <w:multiLevelType w:val="multilevel"/>
    <w:tmpl w:val="BEDA27C0"/>
    <w:lvl w:ilvl="0">
      <w:start w:val="1"/>
      <w:numFmt w:val="upperRoman"/>
      <w:suff w:val="nothing"/>
      <w:lvlText w:val="%1.  "/>
      <w:lvlJc w:val="left"/>
      <w:pPr>
        <w:ind w:left="227" w:hanging="227"/>
      </w:pPr>
      <w:rPr>
        <w:rFonts w:hint="default"/>
      </w:rPr>
    </w:lvl>
    <w:lvl w:ilvl="1">
      <w:start w:val="1"/>
      <w:numFmt w:val="upperLetter"/>
      <w:suff w:val="nothing"/>
      <w:lvlText w:val="%2.  "/>
      <w:lvlJc w:val="left"/>
      <w:pPr>
        <w:ind w:left="510" w:hanging="283"/>
      </w:pPr>
      <w:rPr>
        <w:rFonts w:hint="default"/>
      </w:rPr>
    </w:lvl>
    <w:lvl w:ilvl="2">
      <w:start w:val="1"/>
      <w:numFmt w:val="decimal"/>
      <w:suff w:val="nothing"/>
      <w:lvlText w:val="%3.  "/>
      <w:lvlJc w:val="left"/>
      <w:pPr>
        <w:ind w:left="794" w:hanging="284"/>
      </w:pPr>
      <w:rPr>
        <w:rFonts w:hint="default"/>
      </w:rPr>
    </w:lvl>
    <w:lvl w:ilvl="3">
      <w:start w:val="1"/>
      <w:numFmt w:val="lowerLetter"/>
      <w:suff w:val="nothing"/>
      <w:lvlText w:val="(%4)  "/>
      <w:lvlJc w:val="left"/>
      <w:pPr>
        <w:ind w:left="1077" w:hanging="283"/>
      </w:pPr>
      <w:rPr>
        <w:rFonts w:hint="default"/>
      </w:rPr>
    </w:lvl>
    <w:lvl w:ilvl="4">
      <w:start w:val="1"/>
      <w:numFmt w:val="lowerRoman"/>
      <w:suff w:val="nothing"/>
      <w:lvlText w:val="(%5)  "/>
      <w:lvlJc w:val="left"/>
      <w:pPr>
        <w:ind w:left="1304" w:hanging="227"/>
      </w:pPr>
      <w:rPr>
        <w:rFonts w:hint="default"/>
      </w:rPr>
    </w:lvl>
    <w:lvl w:ilvl="5">
      <w:start w:val="1"/>
      <w:numFmt w:val="lowerLetter"/>
      <w:suff w:val="nothing"/>
      <w:lvlText w:val="(%6)  "/>
      <w:lvlJc w:val="left"/>
      <w:pPr>
        <w:ind w:left="1644" w:hanging="340"/>
      </w:pPr>
      <w:rPr>
        <w:rFonts w:ascii="Symbol" w:hAnsi="Symbol" w:hint="default"/>
      </w:rPr>
    </w:lvl>
    <w:lvl w:ilvl="6">
      <w:start w:val="1"/>
      <w:numFmt w:val="bullet"/>
      <w:lvlText w:val=""/>
      <w:lvlJc w:val="left"/>
      <w:pPr>
        <w:ind w:left="1814" w:hanging="170"/>
      </w:pPr>
      <w:rPr>
        <w:rFonts w:ascii="Symbol" w:hAnsi="Symbol" w:hint="default"/>
        <w:color w:val="000000"/>
      </w:rPr>
    </w:lvl>
    <w:lvl w:ilvl="7">
      <w:start w:val="1"/>
      <w:numFmt w:val="bullet"/>
      <w:lvlText w:val=""/>
      <w:lvlJc w:val="left"/>
      <w:pPr>
        <w:ind w:left="1985" w:hanging="171"/>
      </w:pPr>
      <w:rPr>
        <w:rFonts w:ascii="Wingdings" w:hAnsi="Wingdings" w:hint="default"/>
        <w:color w:val="000000"/>
      </w:rPr>
    </w:lvl>
    <w:lvl w:ilvl="8">
      <w:start w:val="1"/>
      <w:numFmt w:val="lowerRoman"/>
      <w:lvlText w:val="%9."/>
      <w:lvlJc w:val="left"/>
      <w:pPr>
        <w:ind w:left="3240" w:hanging="360"/>
      </w:pPr>
      <w:rPr>
        <w:rFonts w:hint="default"/>
      </w:rPr>
    </w:lvl>
  </w:abstractNum>
  <w:abstractNum w:abstractNumId="40">
    <w:nsid w:val="66FD4624"/>
    <w:multiLevelType w:val="hybridMultilevel"/>
    <w:tmpl w:val="F8A68542"/>
    <w:lvl w:ilvl="0" w:tplc="DE8EAA9A">
      <w:start w:val="1"/>
      <w:numFmt w:val="lowerLetter"/>
      <w:lvlText w:val="(%1)"/>
      <w:lvlJc w:val="left"/>
      <w:pPr>
        <w:ind w:left="360" w:hanging="360"/>
      </w:pPr>
      <w:rPr>
        <w:rFonts w:hint="default"/>
      </w:rPr>
    </w:lvl>
    <w:lvl w:ilvl="1" w:tplc="44C0F2EE" w:tentative="1">
      <w:start w:val="1"/>
      <w:numFmt w:val="lowerLetter"/>
      <w:lvlText w:val="%2."/>
      <w:lvlJc w:val="left"/>
      <w:pPr>
        <w:ind w:left="1440" w:hanging="360"/>
      </w:pPr>
    </w:lvl>
    <w:lvl w:ilvl="2" w:tplc="1D686668" w:tentative="1">
      <w:start w:val="1"/>
      <w:numFmt w:val="lowerRoman"/>
      <w:lvlText w:val="%3."/>
      <w:lvlJc w:val="right"/>
      <w:pPr>
        <w:ind w:left="2160" w:hanging="180"/>
      </w:pPr>
    </w:lvl>
    <w:lvl w:ilvl="3" w:tplc="148A45D6" w:tentative="1">
      <w:start w:val="1"/>
      <w:numFmt w:val="decimal"/>
      <w:lvlText w:val="%4."/>
      <w:lvlJc w:val="left"/>
      <w:pPr>
        <w:ind w:left="2880" w:hanging="360"/>
      </w:pPr>
    </w:lvl>
    <w:lvl w:ilvl="4" w:tplc="6FCAF8B4" w:tentative="1">
      <w:start w:val="1"/>
      <w:numFmt w:val="lowerLetter"/>
      <w:lvlText w:val="%5."/>
      <w:lvlJc w:val="left"/>
      <w:pPr>
        <w:ind w:left="3600" w:hanging="360"/>
      </w:pPr>
    </w:lvl>
    <w:lvl w:ilvl="5" w:tplc="AA7015D0" w:tentative="1">
      <w:start w:val="1"/>
      <w:numFmt w:val="lowerRoman"/>
      <w:lvlText w:val="%6."/>
      <w:lvlJc w:val="right"/>
      <w:pPr>
        <w:ind w:left="4320" w:hanging="180"/>
      </w:pPr>
    </w:lvl>
    <w:lvl w:ilvl="6" w:tplc="3050F5EC" w:tentative="1">
      <w:start w:val="1"/>
      <w:numFmt w:val="decimal"/>
      <w:lvlText w:val="%7."/>
      <w:lvlJc w:val="left"/>
      <w:pPr>
        <w:ind w:left="5040" w:hanging="360"/>
      </w:pPr>
    </w:lvl>
    <w:lvl w:ilvl="7" w:tplc="257A46EE" w:tentative="1">
      <w:start w:val="1"/>
      <w:numFmt w:val="lowerLetter"/>
      <w:lvlText w:val="%8."/>
      <w:lvlJc w:val="left"/>
      <w:pPr>
        <w:ind w:left="5760" w:hanging="360"/>
      </w:pPr>
    </w:lvl>
    <w:lvl w:ilvl="8" w:tplc="70782C9C" w:tentative="1">
      <w:start w:val="1"/>
      <w:numFmt w:val="lowerRoman"/>
      <w:lvlText w:val="%9."/>
      <w:lvlJc w:val="right"/>
      <w:pPr>
        <w:ind w:left="6480" w:hanging="180"/>
      </w:pPr>
    </w:lvl>
  </w:abstractNum>
  <w:abstractNum w:abstractNumId="41">
    <w:nsid w:val="67FD1241"/>
    <w:multiLevelType w:val="hybridMultilevel"/>
    <w:tmpl w:val="F6D86CC2"/>
    <w:lvl w:ilvl="0" w:tplc="D8F6E332">
      <w:start w:val="1"/>
      <w:numFmt w:val="bullet"/>
      <w:pStyle w:val="ListBullet"/>
      <w:lvlText w:val=""/>
      <w:lvlJc w:val="left"/>
      <w:pPr>
        <w:tabs>
          <w:tab w:val="num" w:pos="851"/>
        </w:tabs>
        <w:ind w:left="568" w:firstLine="0"/>
      </w:pPr>
      <w:rPr>
        <w:rFonts w:ascii="Wingdings" w:hAnsi="Wingdings" w:hint="default"/>
        <w:color w:val="808080"/>
        <w:sz w:val="16"/>
      </w:rPr>
    </w:lvl>
    <w:lvl w:ilvl="1" w:tplc="738E9420" w:tentative="1">
      <w:start w:val="1"/>
      <w:numFmt w:val="bullet"/>
      <w:lvlText w:val="o"/>
      <w:lvlJc w:val="left"/>
      <w:pPr>
        <w:tabs>
          <w:tab w:val="num" w:pos="1724"/>
        </w:tabs>
        <w:ind w:left="1724" w:hanging="360"/>
      </w:pPr>
      <w:rPr>
        <w:rFonts w:ascii="Courier New" w:hAnsi="Courier New" w:cs="Courier New" w:hint="default"/>
      </w:rPr>
    </w:lvl>
    <w:lvl w:ilvl="2" w:tplc="0DF4981C" w:tentative="1">
      <w:start w:val="1"/>
      <w:numFmt w:val="bullet"/>
      <w:lvlText w:val=""/>
      <w:lvlJc w:val="left"/>
      <w:pPr>
        <w:tabs>
          <w:tab w:val="num" w:pos="2444"/>
        </w:tabs>
        <w:ind w:left="2444" w:hanging="360"/>
      </w:pPr>
      <w:rPr>
        <w:rFonts w:ascii="Wingdings" w:hAnsi="Wingdings" w:hint="default"/>
      </w:rPr>
    </w:lvl>
    <w:lvl w:ilvl="3" w:tplc="F5A67C1E" w:tentative="1">
      <w:start w:val="1"/>
      <w:numFmt w:val="bullet"/>
      <w:lvlText w:val=""/>
      <w:lvlJc w:val="left"/>
      <w:pPr>
        <w:tabs>
          <w:tab w:val="num" w:pos="3164"/>
        </w:tabs>
        <w:ind w:left="3164" w:hanging="360"/>
      </w:pPr>
      <w:rPr>
        <w:rFonts w:ascii="Symbol" w:hAnsi="Symbol" w:hint="default"/>
      </w:rPr>
    </w:lvl>
    <w:lvl w:ilvl="4" w:tplc="24621264" w:tentative="1">
      <w:start w:val="1"/>
      <w:numFmt w:val="bullet"/>
      <w:lvlText w:val="o"/>
      <w:lvlJc w:val="left"/>
      <w:pPr>
        <w:tabs>
          <w:tab w:val="num" w:pos="3884"/>
        </w:tabs>
        <w:ind w:left="3884" w:hanging="360"/>
      </w:pPr>
      <w:rPr>
        <w:rFonts w:ascii="Courier New" w:hAnsi="Courier New" w:cs="Courier New" w:hint="default"/>
      </w:rPr>
    </w:lvl>
    <w:lvl w:ilvl="5" w:tplc="0316D2DE" w:tentative="1">
      <w:start w:val="1"/>
      <w:numFmt w:val="bullet"/>
      <w:lvlText w:val=""/>
      <w:lvlJc w:val="left"/>
      <w:pPr>
        <w:tabs>
          <w:tab w:val="num" w:pos="4604"/>
        </w:tabs>
        <w:ind w:left="4604" w:hanging="360"/>
      </w:pPr>
      <w:rPr>
        <w:rFonts w:ascii="Wingdings" w:hAnsi="Wingdings" w:hint="default"/>
      </w:rPr>
    </w:lvl>
    <w:lvl w:ilvl="6" w:tplc="310887D4" w:tentative="1">
      <w:start w:val="1"/>
      <w:numFmt w:val="bullet"/>
      <w:lvlText w:val=""/>
      <w:lvlJc w:val="left"/>
      <w:pPr>
        <w:tabs>
          <w:tab w:val="num" w:pos="5324"/>
        </w:tabs>
        <w:ind w:left="5324" w:hanging="360"/>
      </w:pPr>
      <w:rPr>
        <w:rFonts w:ascii="Symbol" w:hAnsi="Symbol" w:hint="default"/>
      </w:rPr>
    </w:lvl>
    <w:lvl w:ilvl="7" w:tplc="67B06638" w:tentative="1">
      <w:start w:val="1"/>
      <w:numFmt w:val="bullet"/>
      <w:lvlText w:val="o"/>
      <w:lvlJc w:val="left"/>
      <w:pPr>
        <w:tabs>
          <w:tab w:val="num" w:pos="6044"/>
        </w:tabs>
        <w:ind w:left="6044" w:hanging="360"/>
      </w:pPr>
      <w:rPr>
        <w:rFonts w:ascii="Courier New" w:hAnsi="Courier New" w:cs="Courier New" w:hint="default"/>
      </w:rPr>
    </w:lvl>
    <w:lvl w:ilvl="8" w:tplc="08D29C7C" w:tentative="1">
      <w:start w:val="1"/>
      <w:numFmt w:val="bullet"/>
      <w:lvlText w:val=""/>
      <w:lvlJc w:val="left"/>
      <w:pPr>
        <w:tabs>
          <w:tab w:val="num" w:pos="6764"/>
        </w:tabs>
        <w:ind w:left="6764" w:hanging="360"/>
      </w:pPr>
      <w:rPr>
        <w:rFonts w:ascii="Wingdings" w:hAnsi="Wingdings" w:hint="default"/>
      </w:rPr>
    </w:lvl>
  </w:abstractNum>
  <w:abstractNum w:abstractNumId="42">
    <w:nsid w:val="6D797CA4"/>
    <w:multiLevelType w:val="multilevel"/>
    <w:tmpl w:val="A1CE0A34"/>
    <w:lvl w:ilvl="0">
      <w:start w:val="1"/>
      <w:numFmt w:val="decimal"/>
      <w:lvlText w:val="%1."/>
      <w:lvlJc w:val="left"/>
      <w:pPr>
        <w:ind w:left="340" w:hanging="340"/>
      </w:pPr>
      <w:rPr>
        <w:rFonts w:hint="default"/>
      </w:rPr>
    </w:lvl>
    <w:lvl w:ilvl="1">
      <w:start w:val="1"/>
      <w:numFmt w:val="lowerLetter"/>
      <w:lvlText w:val="(%2)"/>
      <w:lvlJc w:val="left"/>
      <w:pPr>
        <w:tabs>
          <w:tab w:val="num" w:pos="680"/>
        </w:tabs>
        <w:ind w:left="340" w:firstLine="0"/>
      </w:pPr>
      <w:rPr>
        <w:rFonts w:hint="default"/>
      </w:rPr>
    </w:lvl>
    <w:lvl w:ilvl="2">
      <w:start w:val="1"/>
      <w:numFmt w:val="lowerRoman"/>
      <w:suff w:val="nothing"/>
      <w:lvlText w:val="(%3)  "/>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74DD17BC"/>
    <w:multiLevelType w:val="multilevel"/>
    <w:tmpl w:val="EC58AD9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tabs>
          <w:tab w:val="num" w:pos="1985"/>
        </w:tabs>
        <w:ind w:left="1985" w:hanging="227"/>
      </w:pPr>
      <w:rPr>
        <w:rFonts w:ascii="Times New Roman" w:hAnsi="Times New Roman" w:hint="default"/>
        <w:strike w:val="0"/>
        <w:dstrike w:val="0"/>
        <w:color w:val="auto"/>
        <w:sz w:val="20"/>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nsid w:val="7737461D"/>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41"/>
  </w:num>
  <w:num w:numId="2">
    <w:abstractNumId w:val="15"/>
  </w:num>
  <w:num w:numId="3">
    <w:abstractNumId w:val="9"/>
  </w:num>
  <w:num w:numId="4">
    <w:abstractNumId w:val="45"/>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44"/>
  </w:num>
  <w:num w:numId="15">
    <w:abstractNumId w:val="21"/>
  </w:num>
  <w:num w:numId="16">
    <w:abstractNumId w:val="25"/>
  </w:num>
  <w:num w:numId="17">
    <w:abstractNumId w:val="39"/>
  </w:num>
  <w:num w:numId="18">
    <w:abstractNumId w:val="34"/>
  </w:num>
  <w:num w:numId="19">
    <w:abstractNumId w:val="35"/>
  </w:num>
  <w:num w:numId="20">
    <w:abstractNumId w:val="24"/>
  </w:num>
  <w:num w:numId="21">
    <w:abstractNumId w:val="14"/>
  </w:num>
  <w:num w:numId="22">
    <w:abstractNumId w:val="19"/>
  </w:num>
  <w:num w:numId="23">
    <w:abstractNumId w:val="37"/>
  </w:num>
  <w:num w:numId="24">
    <w:abstractNumId w:val="33"/>
  </w:num>
  <w:num w:numId="25">
    <w:abstractNumId w:val="36"/>
  </w:num>
  <w:num w:numId="26">
    <w:abstractNumId w:val="42"/>
  </w:num>
  <w:num w:numId="27">
    <w:abstractNumId w:val="22"/>
  </w:num>
  <w:num w:numId="28">
    <w:abstractNumId w:val="10"/>
  </w:num>
  <w:num w:numId="29">
    <w:abstractNumId w:val="30"/>
  </w:num>
  <w:num w:numId="30">
    <w:abstractNumId w:val="16"/>
  </w:num>
  <w:num w:numId="31">
    <w:abstractNumId w:val="38"/>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num>
  <w:num w:numId="34">
    <w:abstractNumId w:val="11"/>
  </w:num>
  <w:num w:numId="35">
    <w:abstractNumId w:val="31"/>
  </w:num>
  <w:num w:numId="36">
    <w:abstractNumId w:val="27"/>
  </w:num>
  <w:num w:numId="37">
    <w:abstractNumId w:val="28"/>
  </w:num>
  <w:num w:numId="38">
    <w:abstractNumId w:val="13"/>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2"/>
  </w:num>
  <w:num w:numId="42">
    <w:abstractNumId w:val="23"/>
  </w:num>
  <w:num w:numId="43">
    <w:abstractNumId w:val="32"/>
  </w:num>
  <w:num w:numId="44">
    <w:abstractNumId w:val="29"/>
  </w:num>
  <w:num w:numId="45">
    <w:abstractNumId w:val="26"/>
  </w:num>
  <w:num w:numId="46">
    <w:abstractNumId w:val="40"/>
  </w:num>
  <w:num w:numId="47">
    <w:abstractNumId w:val="20"/>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hideSpellingErrors/>
  <w:hideGrammaticalErrors/>
  <w:stylePaneFormatFilter w:val="D804"/>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5122"/>
  </w:hdrShapeDefaults>
  <w:footnotePr>
    <w:numRestart w:val="eachPage"/>
    <w:footnote w:id="-1"/>
    <w:footnote w:id="0"/>
  </w:footnotePr>
  <w:endnotePr>
    <w:endnote w:id="-1"/>
    <w:endnote w:id="0"/>
  </w:endnotePr>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B84872"/>
    <w:rsid w:val="00015CF1"/>
    <w:rsid w:val="00055A01"/>
    <w:rsid w:val="00067C85"/>
    <w:rsid w:val="00093CC8"/>
    <w:rsid w:val="001941E2"/>
    <w:rsid w:val="001D78C7"/>
    <w:rsid w:val="003334CB"/>
    <w:rsid w:val="00387DC7"/>
    <w:rsid w:val="003B1D99"/>
    <w:rsid w:val="003C2AFF"/>
    <w:rsid w:val="003E0ECF"/>
    <w:rsid w:val="00421903"/>
    <w:rsid w:val="00425CE3"/>
    <w:rsid w:val="005A61A7"/>
    <w:rsid w:val="00684AA9"/>
    <w:rsid w:val="006D3E5B"/>
    <w:rsid w:val="006E66B0"/>
    <w:rsid w:val="0079566F"/>
    <w:rsid w:val="007C3D8E"/>
    <w:rsid w:val="007E1905"/>
    <w:rsid w:val="00845CAF"/>
    <w:rsid w:val="00897450"/>
    <w:rsid w:val="00A8100A"/>
    <w:rsid w:val="00B13115"/>
    <w:rsid w:val="00B84872"/>
    <w:rsid w:val="00B95CAD"/>
    <w:rsid w:val="00BA59F3"/>
    <w:rsid w:val="00BF543F"/>
    <w:rsid w:val="00C061D3"/>
    <w:rsid w:val="00C61671"/>
    <w:rsid w:val="00C77744"/>
    <w:rsid w:val="00DD237C"/>
    <w:rsid w:val="00DD77B4"/>
    <w:rsid w:val="00DE094F"/>
    <w:rsid w:val="00DE3CBD"/>
    <w:rsid w:val="00E21126"/>
    <w:rsid w:val="00E46DA8"/>
    <w:rsid w:val="00E56032"/>
    <w:rsid w:val="00EE0A28"/>
    <w:rsid w:val="00F35636"/>
    <w:rsid w:val="00F73C7F"/>
    <w:rsid w:val="00F74553"/>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qFormat="1"/>
    <w:lsdException w:name="heading 6" w:semiHidden="0" w:unhideWhenUsed="0"/>
    <w:lsdException w:name="heading 7" w:qFormat="1"/>
    <w:lsdException w:name="heading 8" w:qFormat="1"/>
    <w:lsdException w:name="heading 9" w:qFormat="1"/>
    <w:lsdException w:name="header" w:uiPriority="57"/>
    <w:lsdException w:name="footer" w:uiPriority="57"/>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semiHidden/>
    <w:rsid w:val="00CD4158"/>
    <w:pPr>
      <w:jc w:val="both"/>
    </w:pPr>
    <w:rPr>
      <w:rFonts w:eastAsia="MS Mincho"/>
      <w:sz w:val="24"/>
      <w:szCs w:val="22"/>
    </w:rPr>
  </w:style>
  <w:style w:type="paragraph" w:styleId="Heading1">
    <w:name w:val="heading 1"/>
    <w:basedOn w:val="Normal"/>
    <w:next w:val="Normal"/>
    <w:link w:val="Heading1Char"/>
    <w:uiPriority w:val="99"/>
    <w:semiHidden/>
    <w:rsid w:val="00CD4158"/>
    <w:pPr>
      <w:spacing w:before="480"/>
      <w:contextualSpacing/>
      <w:outlineLvl w:val="0"/>
    </w:pPr>
    <w:rPr>
      <w:rFonts w:eastAsia="MS Gothic"/>
      <w:b/>
      <w:bCs/>
      <w:color w:val="333333"/>
      <w:sz w:val="28"/>
      <w:szCs w:val="28"/>
    </w:rPr>
  </w:style>
  <w:style w:type="paragraph" w:styleId="Heading2">
    <w:name w:val="heading 2"/>
    <w:basedOn w:val="Normal"/>
    <w:next w:val="Normal"/>
    <w:link w:val="Heading2Char"/>
    <w:uiPriority w:val="99"/>
    <w:semiHidden/>
    <w:rsid w:val="00CD4158"/>
    <w:pPr>
      <w:spacing w:before="200"/>
      <w:outlineLvl w:val="1"/>
    </w:pPr>
    <w:rPr>
      <w:rFonts w:eastAsia="MS Gothic"/>
      <w:b/>
      <w:bCs/>
      <w:color w:val="4D4D4D"/>
      <w:sz w:val="26"/>
      <w:szCs w:val="26"/>
    </w:rPr>
  </w:style>
  <w:style w:type="paragraph" w:styleId="Heading3">
    <w:name w:val="heading 3"/>
    <w:basedOn w:val="Normal"/>
    <w:next w:val="Normal"/>
    <w:link w:val="Heading3Char"/>
    <w:uiPriority w:val="99"/>
    <w:semiHidden/>
    <w:rsid w:val="00CD4158"/>
    <w:pPr>
      <w:spacing w:before="200" w:line="271" w:lineRule="auto"/>
      <w:outlineLvl w:val="2"/>
    </w:pPr>
    <w:rPr>
      <w:rFonts w:eastAsia="MS Gothic"/>
      <w:b/>
      <w:bCs/>
      <w:color w:val="5F5F5F"/>
    </w:rPr>
  </w:style>
  <w:style w:type="paragraph" w:styleId="Heading4">
    <w:name w:val="heading 4"/>
    <w:basedOn w:val="Normal"/>
    <w:next w:val="Normal"/>
    <w:link w:val="Heading4Char"/>
    <w:uiPriority w:val="99"/>
    <w:semiHidden/>
    <w:rsid w:val="00CD4158"/>
    <w:pPr>
      <w:spacing w:before="200"/>
      <w:outlineLvl w:val="3"/>
    </w:pPr>
    <w:rPr>
      <w:rFonts w:eastAsia="MS Gothic"/>
      <w:b/>
      <w:bCs/>
      <w:i/>
      <w:iCs/>
      <w:color w:val="777777"/>
    </w:rPr>
  </w:style>
  <w:style w:type="paragraph" w:styleId="Heading5">
    <w:name w:val="heading 5"/>
    <w:basedOn w:val="Normal"/>
    <w:next w:val="Normal"/>
    <w:link w:val="Heading5Char"/>
    <w:uiPriority w:val="99"/>
    <w:semiHidden/>
    <w:qFormat/>
    <w:rsid w:val="00CD4158"/>
    <w:pPr>
      <w:spacing w:before="200"/>
      <w:outlineLvl w:val="4"/>
    </w:pPr>
    <w:rPr>
      <w:rFonts w:eastAsia="MS Gothic"/>
      <w:b/>
      <w:bCs/>
      <w:color w:val="808080"/>
      <w:sz w:val="22"/>
    </w:rPr>
  </w:style>
  <w:style w:type="paragraph" w:styleId="Heading6">
    <w:name w:val="heading 6"/>
    <w:basedOn w:val="Normal"/>
    <w:next w:val="Normal"/>
    <w:link w:val="Heading6Char"/>
    <w:uiPriority w:val="99"/>
    <w:semiHidden/>
    <w:rsid w:val="00CD4158"/>
    <w:pPr>
      <w:spacing w:line="271" w:lineRule="auto"/>
      <w:outlineLvl w:val="5"/>
    </w:pPr>
    <w:rPr>
      <w:rFonts w:eastAsia="MS Gothic"/>
      <w:b/>
      <w:bCs/>
      <w:i/>
      <w:iCs/>
      <w:color w:val="7F7F7F"/>
      <w:lang w:bidi="en-US"/>
    </w:rPr>
  </w:style>
  <w:style w:type="paragraph" w:styleId="Heading7">
    <w:name w:val="heading 7"/>
    <w:basedOn w:val="Normal"/>
    <w:next w:val="Normal"/>
    <w:link w:val="Heading7Char"/>
    <w:uiPriority w:val="99"/>
    <w:semiHidden/>
    <w:qFormat/>
    <w:rsid w:val="00CD4158"/>
    <w:pPr>
      <w:outlineLvl w:val="6"/>
    </w:pPr>
    <w:rPr>
      <w:rFonts w:eastAsia="MS Gothic"/>
      <w:i/>
      <w:iCs/>
      <w:sz w:val="22"/>
      <w:lang w:bidi="en-US"/>
    </w:rPr>
  </w:style>
  <w:style w:type="paragraph" w:styleId="Heading8">
    <w:name w:val="heading 8"/>
    <w:basedOn w:val="Normal"/>
    <w:next w:val="Normal"/>
    <w:link w:val="Heading8Char"/>
    <w:uiPriority w:val="99"/>
    <w:semiHidden/>
    <w:qFormat/>
    <w:rsid w:val="00CD4158"/>
    <w:pPr>
      <w:outlineLvl w:val="7"/>
    </w:pPr>
    <w:rPr>
      <w:rFonts w:eastAsia="MS Gothic"/>
      <w:sz w:val="20"/>
      <w:szCs w:val="20"/>
      <w:lang w:bidi="en-US"/>
    </w:rPr>
  </w:style>
  <w:style w:type="paragraph" w:styleId="Heading9">
    <w:name w:val="heading 9"/>
    <w:basedOn w:val="Normal"/>
    <w:next w:val="Normal"/>
    <w:link w:val="Heading9Char"/>
    <w:uiPriority w:val="99"/>
    <w:semiHidden/>
    <w:qFormat/>
    <w:rsid w:val="00CD4158"/>
    <w:pPr>
      <w:outlineLvl w:val="8"/>
    </w:pPr>
    <w:rPr>
      <w:rFonts w:eastAsia="MS Gothic"/>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HRHeading1">
    <w:name w:val="ECHR_Heading_1"/>
    <w:aliases w:val="Ju_H_I_Roman"/>
    <w:basedOn w:val="Heading1"/>
    <w:next w:val="ECHRPara"/>
    <w:uiPriority w:val="19"/>
    <w:qFormat/>
    <w:rsid w:val="00CD4158"/>
    <w:pPr>
      <w:keepNext/>
      <w:keepLines/>
      <w:tabs>
        <w:tab w:val="left" w:pos="357"/>
      </w:tabs>
      <w:spacing w:before="360" w:after="240"/>
      <w:ind w:left="357" w:hanging="357"/>
      <w:contextualSpacing w:val="0"/>
    </w:pPr>
    <w:rPr>
      <w:b w:val="0"/>
      <w:color w:val="000000"/>
      <w:sz w:val="24"/>
    </w:rPr>
  </w:style>
  <w:style w:type="paragraph" w:customStyle="1" w:styleId="ECHRTitle1">
    <w:name w:val="ECHR_Title_1"/>
    <w:aliases w:val="Ju_H_Head"/>
    <w:basedOn w:val="Normal"/>
    <w:next w:val="ECHRPara"/>
    <w:link w:val="JuHHeadChar"/>
    <w:uiPriority w:val="18"/>
    <w:qFormat/>
    <w:rsid w:val="00CD4158"/>
    <w:pPr>
      <w:keepNext/>
      <w:keepLines/>
      <w:spacing w:before="720" w:after="240"/>
      <w:outlineLvl w:val="0"/>
    </w:pPr>
    <w:rPr>
      <w:sz w:val="28"/>
    </w:rPr>
  </w:style>
  <w:style w:type="paragraph" w:customStyle="1" w:styleId="ECHRPara">
    <w:name w:val="ECHR_Para"/>
    <w:aliases w:val="Ju_Para"/>
    <w:basedOn w:val="Normal"/>
    <w:link w:val="ECHRParaChar"/>
    <w:uiPriority w:val="12"/>
    <w:qFormat/>
    <w:rsid w:val="00CD4158"/>
    <w:pPr>
      <w:ind w:firstLine="284"/>
    </w:pPr>
  </w:style>
  <w:style w:type="character" w:customStyle="1" w:styleId="ECHRParaChar">
    <w:name w:val="ECHR_Para Char"/>
    <w:aliases w:val="Ju_Para Char"/>
    <w:link w:val="ECHRPara"/>
    <w:uiPriority w:val="12"/>
    <w:rsid w:val="00B921A8"/>
    <w:rPr>
      <w:rFonts w:eastAsia="MS Mincho"/>
      <w:sz w:val="24"/>
      <w:lang w:val="bg-BG" w:eastAsia="bg-BG"/>
    </w:rPr>
  </w:style>
  <w:style w:type="paragraph" w:styleId="Footer">
    <w:name w:val="footer"/>
    <w:basedOn w:val="Normal"/>
    <w:link w:val="FooterChar"/>
    <w:uiPriority w:val="57"/>
    <w:semiHidden/>
    <w:rsid w:val="00CD4158"/>
    <w:pPr>
      <w:tabs>
        <w:tab w:val="center" w:pos="4536"/>
        <w:tab w:val="right" w:pos="9696"/>
      </w:tabs>
      <w:ind w:left="-680" w:right="-680"/>
    </w:pPr>
    <w:rPr>
      <w:rFonts w:eastAsia="Times New Roman"/>
    </w:rPr>
  </w:style>
  <w:style w:type="paragraph" w:customStyle="1" w:styleId="ECHRDecisionBody">
    <w:name w:val="ECHR_Decision_Body"/>
    <w:aliases w:val="Ju_Judges"/>
    <w:basedOn w:val="Normal"/>
    <w:link w:val="JuJudgesChar"/>
    <w:uiPriority w:val="11"/>
    <w:qFormat/>
    <w:rsid w:val="00CD4158"/>
    <w:pPr>
      <w:tabs>
        <w:tab w:val="left" w:pos="567"/>
        <w:tab w:val="left" w:pos="1134"/>
      </w:tabs>
      <w:jc w:val="left"/>
    </w:pPr>
  </w:style>
  <w:style w:type="character" w:customStyle="1" w:styleId="JuJudgesChar">
    <w:name w:val="Ju_Judges Char"/>
    <w:link w:val="ECHRDecisionBody"/>
    <w:uiPriority w:val="11"/>
    <w:locked/>
    <w:rsid w:val="00D15473"/>
    <w:rPr>
      <w:rFonts w:eastAsia="MS Mincho"/>
      <w:sz w:val="24"/>
      <w:lang w:val="bg-BG" w:eastAsia="bg-BG"/>
    </w:rPr>
  </w:style>
  <w:style w:type="paragraph" w:customStyle="1" w:styleId="ECHRHeading2">
    <w:name w:val="ECHR_Heading_2"/>
    <w:aliases w:val="Ju_H_A"/>
    <w:basedOn w:val="Heading2"/>
    <w:next w:val="ECHRPara"/>
    <w:uiPriority w:val="20"/>
    <w:qFormat/>
    <w:rsid w:val="00CD4158"/>
    <w:pPr>
      <w:keepNext/>
      <w:keepLines/>
      <w:tabs>
        <w:tab w:val="left" w:pos="584"/>
      </w:tabs>
      <w:spacing w:before="360" w:after="240"/>
      <w:ind w:left="584" w:hanging="352"/>
    </w:pPr>
    <w:rPr>
      <w:color w:val="000000"/>
      <w:sz w:val="24"/>
    </w:rPr>
  </w:style>
  <w:style w:type="paragraph" w:customStyle="1" w:styleId="ECHRParaQuote">
    <w:name w:val="ECHR_Para_Quote"/>
    <w:aliases w:val="Ju_Quot"/>
    <w:basedOn w:val="Normal"/>
    <w:uiPriority w:val="14"/>
    <w:qFormat/>
    <w:rsid w:val="00CD4158"/>
    <w:pPr>
      <w:spacing w:before="120" w:after="120"/>
      <w:ind w:left="425" w:firstLine="142"/>
    </w:pPr>
    <w:rPr>
      <w:sz w:val="20"/>
    </w:rPr>
  </w:style>
  <w:style w:type="paragraph" w:customStyle="1" w:styleId="JuSigned">
    <w:name w:val="Ju_Signed"/>
    <w:basedOn w:val="Normal"/>
    <w:next w:val="JuParaLast"/>
    <w:link w:val="JuSignedChar"/>
    <w:uiPriority w:val="32"/>
    <w:qFormat/>
    <w:rsid w:val="00CD4158"/>
    <w:pPr>
      <w:tabs>
        <w:tab w:val="center" w:pos="851"/>
        <w:tab w:val="center" w:pos="6407"/>
      </w:tabs>
      <w:spacing w:before="720"/>
      <w:jc w:val="left"/>
    </w:pPr>
  </w:style>
  <w:style w:type="paragraph" w:customStyle="1" w:styleId="JuParaLast">
    <w:name w:val="Ju_Para_Last"/>
    <w:basedOn w:val="Normal"/>
    <w:next w:val="ECHRPara"/>
    <w:uiPriority w:val="30"/>
    <w:qFormat/>
    <w:rsid w:val="00CD4158"/>
    <w:pPr>
      <w:keepNext/>
      <w:keepLines/>
      <w:spacing w:before="240"/>
      <w:ind w:firstLine="284"/>
    </w:pPr>
  </w:style>
  <w:style w:type="character" w:customStyle="1" w:styleId="JuSignedChar">
    <w:name w:val="Ju_Signed Char"/>
    <w:link w:val="JuSigned"/>
    <w:uiPriority w:val="32"/>
    <w:rsid w:val="000726F6"/>
    <w:rPr>
      <w:rFonts w:eastAsia="MS Mincho"/>
      <w:sz w:val="24"/>
      <w:lang w:val="bg-BG" w:eastAsia="bg-BG"/>
    </w:rPr>
  </w:style>
  <w:style w:type="paragraph" w:customStyle="1" w:styleId="JuCase">
    <w:name w:val="Ju_Case"/>
    <w:basedOn w:val="Normal"/>
    <w:next w:val="ECHRPara"/>
    <w:link w:val="JuCaseChar"/>
    <w:uiPriority w:val="10"/>
    <w:rsid w:val="00CD4158"/>
    <w:pPr>
      <w:ind w:firstLine="284"/>
    </w:pPr>
    <w:rPr>
      <w:b/>
    </w:rPr>
  </w:style>
  <w:style w:type="character" w:customStyle="1" w:styleId="JuCaseChar">
    <w:name w:val="Ju_Case Char"/>
    <w:link w:val="JuCase"/>
    <w:uiPriority w:val="10"/>
    <w:rsid w:val="00B921A8"/>
    <w:rPr>
      <w:rFonts w:eastAsia="MS Mincho"/>
      <w:b/>
      <w:sz w:val="24"/>
      <w:lang w:val="bg-BG" w:eastAsia="bg-BG"/>
    </w:rPr>
  </w:style>
  <w:style w:type="paragraph" w:customStyle="1" w:styleId="JuList">
    <w:name w:val="Ju_List"/>
    <w:basedOn w:val="Normal"/>
    <w:link w:val="JuListChar"/>
    <w:uiPriority w:val="28"/>
    <w:qFormat/>
    <w:rsid w:val="00CD4158"/>
    <w:pPr>
      <w:ind w:left="340" w:hanging="340"/>
    </w:pPr>
  </w:style>
  <w:style w:type="character" w:customStyle="1" w:styleId="JuListChar">
    <w:name w:val="Ju_List Char"/>
    <w:link w:val="JuList"/>
    <w:uiPriority w:val="28"/>
    <w:rsid w:val="00930CD7"/>
    <w:rPr>
      <w:rFonts w:eastAsia="MS Mincho"/>
      <w:sz w:val="24"/>
      <w:lang w:val="bg-BG" w:eastAsia="bg-BG"/>
    </w:rPr>
  </w:style>
  <w:style w:type="paragraph" w:customStyle="1" w:styleId="JuAppQuestion">
    <w:name w:val="Ju_App_Question"/>
    <w:basedOn w:val="Normal"/>
    <w:uiPriority w:val="5"/>
    <w:rsid w:val="00CD4158"/>
    <w:pPr>
      <w:numPr>
        <w:numId w:val="14"/>
      </w:numPr>
      <w:jc w:val="left"/>
    </w:pPr>
    <w:rPr>
      <w:b/>
    </w:rPr>
  </w:style>
  <w:style w:type="paragraph" w:styleId="FootnoteText">
    <w:name w:val="footnote text"/>
    <w:basedOn w:val="Normal"/>
    <w:link w:val="FootnoteTextChar"/>
    <w:uiPriority w:val="99"/>
    <w:semiHidden/>
    <w:rsid w:val="00CD4158"/>
    <w:rPr>
      <w:sz w:val="20"/>
      <w:szCs w:val="20"/>
    </w:rPr>
  </w:style>
  <w:style w:type="character" w:styleId="FootnoteReference">
    <w:name w:val="footnote reference"/>
    <w:uiPriority w:val="99"/>
    <w:semiHidden/>
    <w:rsid w:val="00CD4158"/>
    <w:rPr>
      <w:vertAlign w:val="superscript"/>
      <w:lang w:val="bg-BG" w:eastAsia="bg-BG"/>
    </w:rPr>
  </w:style>
  <w:style w:type="paragraph" w:styleId="Header">
    <w:name w:val="header"/>
    <w:basedOn w:val="Normal"/>
    <w:link w:val="HeaderChar"/>
    <w:uiPriority w:val="57"/>
    <w:semiHidden/>
    <w:rsid w:val="00CD4158"/>
    <w:pPr>
      <w:tabs>
        <w:tab w:val="center" w:pos="4536"/>
        <w:tab w:val="right" w:pos="9072"/>
      </w:tabs>
    </w:pPr>
    <w:rPr>
      <w:rFonts w:eastAsia="Times New Roman"/>
    </w:rPr>
  </w:style>
  <w:style w:type="character" w:styleId="PageNumber">
    <w:name w:val="page number"/>
    <w:uiPriority w:val="99"/>
    <w:semiHidden/>
    <w:rsid w:val="00D1288A"/>
    <w:rPr>
      <w:sz w:val="18"/>
      <w:lang w:val="bg-BG" w:eastAsia="bg-BG"/>
    </w:rPr>
  </w:style>
  <w:style w:type="paragraph" w:customStyle="1" w:styleId="JuLista">
    <w:name w:val="Ju_List_a"/>
    <w:basedOn w:val="JuList"/>
    <w:uiPriority w:val="28"/>
    <w:qFormat/>
    <w:rsid w:val="00CD4158"/>
    <w:pPr>
      <w:ind w:left="346" w:firstLine="0"/>
    </w:pPr>
  </w:style>
  <w:style w:type="paragraph" w:customStyle="1" w:styleId="JuListi">
    <w:name w:val="Ju_List_i"/>
    <w:basedOn w:val="Normal"/>
    <w:next w:val="JuLista"/>
    <w:uiPriority w:val="28"/>
    <w:qFormat/>
    <w:rsid w:val="00CD4158"/>
    <w:pPr>
      <w:ind w:left="794"/>
    </w:pPr>
  </w:style>
  <w:style w:type="character" w:styleId="CommentReference">
    <w:name w:val="annotation reference"/>
    <w:uiPriority w:val="99"/>
    <w:semiHidden/>
    <w:rsid w:val="00684AA9"/>
    <w:rPr>
      <w:sz w:val="16"/>
      <w:lang w:val="bg-BG" w:eastAsia="bg-BG"/>
    </w:rPr>
  </w:style>
  <w:style w:type="paragraph" w:styleId="CommentText">
    <w:name w:val="annotation text"/>
    <w:basedOn w:val="Normal"/>
    <w:uiPriority w:val="99"/>
    <w:semiHidden/>
    <w:rsid w:val="00684AA9"/>
    <w:rPr>
      <w:sz w:val="20"/>
    </w:rPr>
  </w:style>
  <w:style w:type="paragraph" w:styleId="BalloonText">
    <w:name w:val="Balloon Text"/>
    <w:basedOn w:val="Normal"/>
    <w:link w:val="BalloonTextChar"/>
    <w:uiPriority w:val="99"/>
    <w:semiHidden/>
    <w:rsid w:val="00CD4158"/>
    <w:rPr>
      <w:rFonts w:ascii="Tahoma" w:hAnsi="Tahoma" w:cs="Tahoma"/>
      <w:sz w:val="16"/>
      <w:szCs w:val="16"/>
    </w:rPr>
  </w:style>
  <w:style w:type="paragraph" w:styleId="CommentSubject">
    <w:name w:val="annotation subject"/>
    <w:basedOn w:val="CommentText"/>
    <w:next w:val="CommentText"/>
    <w:uiPriority w:val="99"/>
    <w:semiHidden/>
    <w:rsid w:val="00D353F4"/>
    <w:rPr>
      <w:b/>
      <w:bCs/>
    </w:rPr>
  </w:style>
  <w:style w:type="character" w:styleId="EndnoteReference">
    <w:name w:val="endnote reference"/>
    <w:uiPriority w:val="99"/>
    <w:semiHidden/>
    <w:rsid w:val="00D1288A"/>
    <w:rPr>
      <w:vertAlign w:val="superscript"/>
      <w:lang w:val="bg-BG" w:eastAsia="bg-BG"/>
    </w:rPr>
  </w:style>
  <w:style w:type="paragraph" w:styleId="EndnoteText">
    <w:name w:val="endnote text"/>
    <w:basedOn w:val="Normal"/>
    <w:uiPriority w:val="99"/>
    <w:semiHidden/>
    <w:rsid w:val="00D1288A"/>
    <w:rPr>
      <w:sz w:val="20"/>
    </w:rPr>
  </w:style>
  <w:style w:type="character" w:styleId="FollowedHyperlink">
    <w:name w:val="FollowedHyperlink"/>
    <w:uiPriority w:val="99"/>
    <w:semiHidden/>
    <w:rsid w:val="00D1288A"/>
    <w:rPr>
      <w:color w:val="800080"/>
      <w:u w:val="single"/>
      <w:lang w:val="bg-BG" w:eastAsia="bg-BG"/>
    </w:rPr>
  </w:style>
  <w:style w:type="character" w:styleId="Hyperlink">
    <w:name w:val="Hyperlink"/>
    <w:uiPriority w:val="99"/>
    <w:semiHidden/>
    <w:rsid w:val="00CD4158"/>
    <w:rPr>
      <w:color w:val="0072BC"/>
      <w:u w:val="single"/>
      <w:lang w:val="bg-BG" w:eastAsia="bg-BG"/>
    </w:rPr>
  </w:style>
  <w:style w:type="character" w:styleId="Strong">
    <w:name w:val="Strong"/>
    <w:uiPriority w:val="99"/>
    <w:semiHidden/>
    <w:qFormat/>
    <w:rsid w:val="00CD4158"/>
    <w:rPr>
      <w:b/>
      <w:bCs/>
      <w:lang w:val="bg-BG" w:eastAsia="bg-BG"/>
    </w:rPr>
  </w:style>
  <w:style w:type="paragraph" w:styleId="DocumentMap">
    <w:name w:val="Document Map"/>
    <w:basedOn w:val="Normal"/>
    <w:uiPriority w:val="99"/>
    <w:semiHidden/>
    <w:rsid w:val="008824B9"/>
    <w:pPr>
      <w:shd w:val="clear" w:color="auto" w:fill="000080"/>
    </w:pPr>
    <w:rPr>
      <w:rFonts w:ascii="Tahoma" w:hAnsi="Tahoma" w:cs="Tahoma"/>
      <w:sz w:val="20"/>
    </w:rPr>
  </w:style>
  <w:style w:type="paragraph" w:customStyle="1" w:styleId="OpiPara">
    <w:name w:val="Opi_Para"/>
    <w:basedOn w:val="ECHRPara"/>
    <w:uiPriority w:val="46"/>
    <w:qFormat/>
    <w:rsid w:val="00CD4158"/>
  </w:style>
  <w:style w:type="paragraph" w:styleId="ListBullet">
    <w:name w:val="List Bullet"/>
    <w:basedOn w:val="Normal"/>
    <w:uiPriority w:val="99"/>
    <w:semiHidden/>
    <w:rsid w:val="008824B9"/>
    <w:pPr>
      <w:numPr>
        <w:numId w:val="1"/>
      </w:numPr>
    </w:pPr>
  </w:style>
  <w:style w:type="paragraph" w:customStyle="1" w:styleId="JuParaSub">
    <w:name w:val="Ju_Para_Sub"/>
    <w:basedOn w:val="ECHRPara"/>
    <w:uiPriority w:val="13"/>
    <w:qFormat/>
    <w:rsid w:val="00CD4158"/>
    <w:pPr>
      <w:ind w:left="284"/>
    </w:pPr>
  </w:style>
  <w:style w:type="character" w:customStyle="1" w:styleId="Heading1Char">
    <w:name w:val="Heading 1 Char"/>
    <w:link w:val="Heading1"/>
    <w:uiPriority w:val="99"/>
    <w:semiHidden/>
    <w:rsid w:val="00CD4158"/>
    <w:rPr>
      <w:rFonts w:ascii="Times New Roman" w:eastAsia="MS Gothic" w:hAnsi="Times New Roman" w:cs="Times New Roman"/>
      <w:b/>
      <w:bCs/>
      <w:color w:val="333333"/>
      <w:sz w:val="28"/>
      <w:szCs w:val="28"/>
      <w:lang w:val="bg-BG" w:eastAsia="bg-BG"/>
    </w:rPr>
  </w:style>
  <w:style w:type="character" w:customStyle="1" w:styleId="Heading2Char">
    <w:name w:val="Heading 2 Char"/>
    <w:link w:val="Heading2"/>
    <w:uiPriority w:val="99"/>
    <w:semiHidden/>
    <w:rsid w:val="00CD4158"/>
    <w:rPr>
      <w:rFonts w:ascii="Times New Roman" w:eastAsia="MS Gothic" w:hAnsi="Times New Roman" w:cs="Times New Roman"/>
      <w:b/>
      <w:bCs/>
      <w:color w:val="4D4D4D"/>
      <w:sz w:val="26"/>
      <w:szCs w:val="26"/>
      <w:lang w:val="bg-BG" w:eastAsia="bg-BG"/>
    </w:rPr>
  </w:style>
  <w:style w:type="character" w:customStyle="1" w:styleId="Heading3Char">
    <w:name w:val="Heading 3 Char"/>
    <w:link w:val="Heading3"/>
    <w:uiPriority w:val="99"/>
    <w:semiHidden/>
    <w:rsid w:val="00CD4158"/>
    <w:rPr>
      <w:rFonts w:ascii="Times New Roman" w:eastAsia="MS Gothic" w:hAnsi="Times New Roman" w:cs="Times New Roman"/>
      <w:b/>
      <w:bCs/>
      <w:color w:val="5F5F5F"/>
      <w:sz w:val="24"/>
      <w:lang w:val="bg-BG" w:eastAsia="bg-BG"/>
    </w:rPr>
  </w:style>
  <w:style w:type="character" w:customStyle="1" w:styleId="Heading4Char">
    <w:name w:val="Heading 4 Char"/>
    <w:link w:val="Heading4"/>
    <w:uiPriority w:val="99"/>
    <w:semiHidden/>
    <w:rsid w:val="00CD4158"/>
    <w:rPr>
      <w:rFonts w:ascii="Times New Roman" w:eastAsia="MS Gothic" w:hAnsi="Times New Roman" w:cs="Times New Roman"/>
      <w:b/>
      <w:bCs/>
      <w:i/>
      <w:iCs/>
      <w:color w:val="777777"/>
      <w:sz w:val="24"/>
      <w:lang w:val="bg-BG" w:eastAsia="bg-BG"/>
    </w:rPr>
  </w:style>
  <w:style w:type="character" w:customStyle="1" w:styleId="Heading6Char">
    <w:name w:val="Heading 6 Char"/>
    <w:link w:val="Heading6"/>
    <w:uiPriority w:val="99"/>
    <w:semiHidden/>
    <w:rsid w:val="00CD4158"/>
    <w:rPr>
      <w:rFonts w:ascii="Times New Roman" w:eastAsia="MS Gothic" w:hAnsi="Times New Roman" w:cs="Times New Roman"/>
      <w:b/>
      <w:bCs/>
      <w:i/>
      <w:iCs/>
      <w:color w:val="7F7F7F"/>
      <w:sz w:val="24"/>
      <w:lang w:val="bg-BG" w:eastAsia="bg-BG" w:bidi="en-US"/>
    </w:rPr>
  </w:style>
  <w:style w:type="character" w:customStyle="1" w:styleId="BalloonTextChar">
    <w:name w:val="Balloon Text Char"/>
    <w:link w:val="BalloonText"/>
    <w:uiPriority w:val="99"/>
    <w:semiHidden/>
    <w:rsid w:val="00CD4158"/>
    <w:rPr>
      <w:rFonts w:ascii="Tahoma" w:eastAsia="MS Mincho" w:hAnsi="Tahoma" w:cs="Tahoma"/>
      <w:sz w:val="16"/>
      <w:szCs w:val="16"/>
      <w:lang w:val="bg-BG" w:eastAsia="bg-BG"/>
    </w:rPr>
  </w:style>
  <w:style w:type="paragraph" w:customStyle="1" w:styleId="ECHRFooter">
    <w:name w:val="ECHR_Footer"/>
    <w:aliases w:val="Footer_ECHR"/>
    <w:basedOn w:val="Footer"/>
    <w:uiPriority w:val="57"/>
    <w:semiHidden/>
    <w:rsid w:val="00CD4158"/>
    <w:pPr>
      <w:jc w:val="left"/>
    </w:pPr>
    <w:rPr>
      <w:sz w:val="8"/>
    </w:rPr>
  </w:style>
  <w:style w:type="paragraph" w:customStyle="1" w:styleId="ECHRFooterLine">
    <w:name w:val="ECHR_Footer_Line"/>
    <w:aliases w:val="Footer_Line"/>
    <w:basedOn w:val="Normal"/>
    <w:next w:val="ECHRFooter"/>
    <w:uiPriority w:val="57"/>
    <w:semiHidden/>
    <w:rsid w:val="00CD4158"/>
    <w:pPr>
      <w:pBdr>
        <w:top w:val="single" w:sz="6" w:space="1" w:color="5F5F5F"/>
      </w:pBdr>
      <w:tabs>
        <w:tab w:val="center" w:pos="4536"/>
        <w:tab w:val="right" w:pos="9696"/>
      </w:tabs>
      <w:ind w:left="-680" w:right="-680"/>
      <w:jc w:val="left"/>
    </w:pPr>
    <w:rPr>
      <w:color w:val="5F5F5F"/>
    </w:rPr>
  </w:style>
  <w:style w:type="character" w:customStyle="1" w:styleId="HeaderChar">
    <w:name w:val="Header Char"/>
    <w:link w:val="Header"/>
    <w:uiPriority w:val="57"/>
    <w:semiHidden/>
    <w:rsid w:val="00CD4158"/>
    <w:rPr>
      <w:sz w:val="24"/>
      <w:lang w:val="bg-BG" w:eastAsia="bg-BG"/>
    </w:rPr>
  </w:style>
  <w:style w:type="paragraph" w:customStyle="1" w:styleId="ECHRHeader">
    <w:name w:val="ECHR_Header"/>
    <w:aliases w:val="Ju_Header"/>
    <w:basedOn w:val="Header"/>
    <w:uiPriority w:val="4"/>
    <w:qFormat/>
    <w:rsid w:val="00CD4158"/>
    <w:pPr>
      <w:tabs>
        <w:tab w:val="clear" w:pos="4536"/>
        <w:tab w:val="clear" w:pos="9072"/>
        <w:tab w:val="center" w:pos="3686"/>
        <w:tab w:val="right" w:pos="7371"/>
      </w:tabs>
      <w:jc w:val="left"/>
    </w:pPr>
    <w:rPr>
      <w:sz w:val="18"/>
    </w:rPr>
  </w:style>
  <w:style w:type="character" w:customStyle="1" w:styleId="FooterChar">
    <w:name w:val="Footer Char"/>
    <w:link w:val="Footer"/>
    <w:uiPriority w:val="57"/>
    <w:semiHidden/>
    <w:rsid w:val="00CD4158"/>
    <w:rPr>
      <w:sz w:val="24"/>
      <w:lang w:val="bg-BG" w:eastAsia="bg-BG"/>
    </w:rPr>
  </w:style>
  <w:style w:type="character" w:customStyle="1" w:styleId="FootnoteTextChar">
    <w:name w:val="Footnote Text Char"/>
    <w:link w:val="FootnoteText"/>
    <w:uiPriority w:val="99"/>
    <w:semiHidden/>
    <w:rsid w:val="00CD4158"/>
    <w:rPr>
      <w:rFonts w:eastAsia="MS Mincho"/>
      <w:sz w:val="20"/>
      <w:szCs w:val="20"/>
      <w:lang w:val="bg-BG" w:eastAsia="bg-BG"/>
    </w:rPr>
  </w:style>
  <w:style w:type="paragraph" w:customStyle="1" w:styleId="OpiParaSub">
    <w:name w:val="Opi_Para_Sub"/>
    <w:basedOn w:val="JuParaSub"/>
    <w:uiPriority w:val="47"/>
    <w:qFormat/>
    <w:rsid w:val="00CD4158"/>
  </w:style>
  <w:style w:type="paragraph" w:customStyle="1" w:styleId="OpiQuot">
    <w:name w:val="Opi_Quot"/>
    <w:basedOn w:val="ECHRParaQuote"/>
    <w:uiPriority w:val="48"/>
    <w:qFormat/>
    <w:rsid w:val="00CD4158"/>
  </w:style>
  <w:style w:type="paragraph" w:customStyle="1" w:styleId="OpiQuotSub">
    <w:name w:val="Opi_Quot_Sub"/>
    <w:basedOn w:val="JuQuotSub"/>
    <w:uiPriority w:val="49"/>
    <w:qFormat/>
    <w:rsid w:val="00CD4158"/>
  </w:style>
  <w:style w:type="paragraph" w:customStyle="1" w:styleId="JuTitle">
    <w:name w:val="Ju_Title"/>
    <w:basedOn w:val="Normal"/>
    <w:next w:val="ECHRPara"/>
    <w:uiPriority w:val="3"/>
    <w:rsid w:val="00CD4158"/>
    <w:pPr>
      <w:spacing w:before="720" w:after="240"/>
      <w:jc w:val="center"/>
      <w:outlineLvl w:val="0"/>
    </w:pPr>
    <w:rPr>
      <w:b/>
      <w:caps/>
    </w:rPr>
  </w:style>
  <w:style w:type="paragraph" w:customStyle="1" w:styleId="JuQuotSub">
    <w:name w:val="Ju_Quot_Sub"/>
    <w:basedOn w:val="ECHRParaQuote"/>
    <w:uiPriority w:val="15"/>
    <w:qFormat/>
    <w:rsid w:val="00CD4158"/>
    <w:pPr>
      <w:ind w:left="567"/>
    </w:pPr>
  </w:style>
  <w:style w:type="paragraph" w:customStyle="1" w:styleId="JuInitialled">
    <w:name w:val="Ju_Initialled"/>
    <w:basedOn w:val="Normal"/>
    <w:uiPriority w:val="31"/>
    <w:qFormat/>
    <w:rsid w:val="00CD4158"/>
    <w:pPr>
      <w:tabs>
        <w:tab w:val="center" w:pos="6407"/>
      </w:tabs>
      <w:spacing w:before="720"/>
      <w:jc w:val="right"/>
    </w:pPr>
  </w:style>
  <w:style w:type="paragraph" w:customStyle="1" w:styleId="ECHRTitleCentre3">
    <w:name w:val="ECHR_Title_Centre_3"/>
    <w:aliases w:val="Ju_H_Article"/>
    <w:basedOn w:val="Normal"/>
    <w:next w:val="ECHRParaQuote"/>
    <w:uiPriority w:val="27"/>
    <w:qFormat/>
    <w:rsid w:val="00CD4158"/>
    <w:pPr>
      <w:keepNext/>
      <w:keepLines/>
      <w:spacing w:before="240" w:after="120"/>
      <w:jc w:val="center"/>
      <w:outlineLvl w:val="3"/>
    </w:pPr>
    <w:rPr>
      <w:b/>
      <w:sz w:val="20"/>
      <w:lang w:bidi="en-US"/>
    </w:rPr>
  </w:style>
  <w:style w:type="paragraph" w:customStyle="1" w:styleId="ECHRTitleCentre2">
    <w:name w:val="ECHR_Title_Centre_2"/>
    <w:aliases w:val="Dec_H_Case"/>
    <w:basedOn w:val="Normal"/>
    <w:next w:val="ECHRPara"/>
    <w:uiPriority w:val="8"/>
    <w:rsid w:val="00CD4158"/>
    <w:pPr>
      <w:spacing w:after="240"/>
      <w:jc w:val="center"/>
      <w:outlineLvl w:val="0"/>
    </w:pPr>
  </w:style>
  <w:style w:type="paragraph" w:customStyle="1" w:styleId="OpiHA">
    <w:name w:val="Opi_H_A"/>
    <w:basedOn w:val="ECHRHeading1"/>
    <w:next w:val="OpiPara"/>
    <w:uiPriority w:val="41"/>
    <w:qFormat/>
    <w:rsid w:val="00CD4158"/>
    <w:pPr>
      <w:tabs>
        <w:tab w:val="clear" w:pos="357"/>
      </w:tabs>
      <w:outlineLvl w:val="1"/>
    </w:pPr>
    <w:rPr>
      <w:b/>
    </w:rPr>
  </w:style>
  <w:style w:type="character" w:customStyle="1" w:styleId="Heading5Char">
    <w:name w:val="Heading 5 Char"/>
    <w:link w:val="Heading5"/>
    <w:uiPriority w:val="99"/>
    <w:semiHidden/>
    <w:rsid w:val="00CD4158"/>
    <w:rPr>
      <w:rFonts w:ascii="Times New Roman" w:eastAsia="MS Gothic" w:hAnsi="Times New Roman" w:cs="Times New Roman"/>
      <w:b/>
      <w:bCs/>
      <w:color w:val="808080"/>
      <w:lang w:val="bg-BG" w:eastAsia="bg-BG"/>
    </w:rPr>
  </w:style>
  <w:style w:type="character" w:customStyle="1" w:styleId="Heading7Char">
    <w:name w:val="Heading 7 Char"/>
    <w:link w:val="Heading7"/>
    <w:uiPriority w:val="99"/>
    <w:semiHidden/>
    <w:rsid w:val="00CD4158"/>
    <w:rPr>
      <w:rFonts w:ascii="Times New Roman" w:eastAsia="MS Gothic" w:hAnsi="Times New Roman" w:cs="Times New Roman"/>
      <w:i/>
      <w:iCs/>
      <w:lang w:val="bg-BG" w:eastAsia="bg-BG" w:bidi="en-US"/>
    </w:rPr>
  </w:style>
  <w:style w:type="character" w:customStyle="1" w:styleId="Heading8Char">
    <w:name w:val="Heading 8 Char"/>
    <w:link w:val="Heading8"/>
    <w:uiPriority w:val="99"/>
    <w:semiHidden/>
    <w:rsid w:val="00CD4158"/>
    <w:rPr>
      <w:rFonts w:ascii="Times New Roman" w:eastAsia="MS Gothic" w:hAnsi="Times New Roman" w:cs="Times New Roman"/>
      <w:sz w:val="20"/>
      <w:szCs w:val="20"/>
      <w:lang w:val="bg-BG" w:eastAsia="bg-BG" w:bidi="en-US"/>
    </w:rPr>
  </w:style>
  <w:style w:type="character" w:customStyle="1" w:styleId="Heading9Char">
    <w:name w:val="Heading 9 Char"/>
    <w:link w:val="Heading9"/>
    <w:uiPriority w:val="99"/>
    <w:semiHidden/>
    <w:rsid w:val="00CD4158"/>
    <w:rPr>
      <w:rFonts w:ascii="Times New Roman" w:eastAsia="MS Gothic" w:hAnsi="Times New Roman" w:cs="Times New Roman"/>
      <w:i/>
      <w:iCs/>
      <w:spacing w:val="5"/>
      <w:sz w:val="20"/>
      <w:szCs w:val="20"/>
      <w:lang w:val="bg-BG" w:eastAsia="bg-BG" w:bidi="en-US"/>
    </w:rPr>
  </w:style>
  <w:style w:type="paragraph" w:styleId="Title">
    <w:name w:val="Title"/>
    <w:basedOn w:val="Normal"/>
    <w:next w:val="Normal"/>
    <w:link w:val="TitleChar"/>
    <w:uiPriority w:val="99"/>
    <w:semiHidden/>
    <w:qFormat/>
    <w:rsid w:val="00CD4158"/>
    <w:pPr>
      <w:pBdr>
        <w:bottom w:val="single" w:sz="4" w:space="1" w:color="auto"/>
      </w:pBdr>
      <w:contextualSpacing/>
    </w:pPr>
    <w:rPr>
      <w:rFonts w:eastAsia="MS Gothic"/>
      <w:spacing w:val="5"/>
      <w:sz w:val="52"/>
      <w:szCs w:val="52"/>
      <w:lang w:bidi="en-US"/>
    </w:rPr>
  </w:style>
  <w:style w:type="character" w:customStyle="1" w:styleId="TitleChar">
    <w:name w:val="Title Char"/>
    <w:link w:val="Title"/>
    <w:uiPriority w:val="99"/>
    <w:semiHidden/>
    <w:rsid w:val="00CD4158"/>
    <w:rPr>
      <w:rFonts w:ascii="Times New Roman" w:eastAsia="MS Gothic" w:hAnsi="Times New Roman" w:cs="Times New Roman"/>
      <w:spacing w:val="5"/>
      <w:sz w:val="52"/>
      <w:szCs w:val="52"/>
      <w:lang w:val="bg-BG" w:eastAsia="bg-BG" w:bidi="en-US"/>
    </w:rPr>
  </w:style>
  <w:style w:type="paragraph" w:styleId="Subtitle">
    <w:name w:val="Subtitle"/>
    <w:basedOn w:val="Normal"/>
    <w:next w:val="Normal"/>
    <w:link w:val="SubtitleChar"/>
    <w:uiPriority w:val="99"/>
    <w:semiHidden/>
    <w:qFormat/>
    <w:rsid w:val="00CD4158"/>
    <w:pPr>
      <w:spacing w:after="600"/>
    </w:pPr>
    <w:rPr>
      <w:rFonts w:eastAsia="MS Gothic"/>
      <w:i/>
      <w:iCs/>
      <w:spacing w:val="13"/>
      <w:szCs w:val="24"/>
      <w:lang w:bidi="en-US"/>
    </w:rPr>
  </w:style>
  <w:style w:type="character" w:customStyle="1" w:styleId="SubtitleChar">
    <w:name w:val="Subtitle Char"/>
    <w:link w:val="Subtitle"/>
    <w:uiPriority w:val="99"/>
    <w:semiHidden/>
    <w:rsid w:val="00CD4158"/>
    <w:rPr>
      <w:rFonts w:ascii="Times New Roman" w:eastAsia="MS Gothic" w:hAnsi="Times New Roman" w:cs="Times New Roman"/>
      <w:i/>
      <w:iCs/>
      <w:spacing w:val="13"/>
      <w:sz w:val="24"/>
      <w:szCs w:val="24"/>
      <w:lang w:val="bg-BG" w:eastAsia="bg-BG" w:bidi="en-US"/>
    </w:rPr>
  </w:style>
  <w:style w:type="character" w:styleId="Emphasis">
    <w:name w:val="Emphasis"/>
    <w:uiPriority w:val="99"/>
    <w:semiHidden/>
    <w:qFormat/>
    <w:rsid w:val="00CD4158"/>
    <w:rPr>
      <w:b/>
      <w:bCs/>
      <w:i/>
      <w:iCs/>
      <w:spacing w:val="10"/>
      <w:bdr w:val="none" w:sz="0" w:space="0" w:color="auto"/>
      <w:lang w:val="bg-BG" w:eastAsia="bg-BG"/>
    </w:rPr>
  </w:style>
  <w:style w:type="paragraph" w:styleId="NoSpacing">
    <w:name w:val="No Spacing"/>
    <w:basedOn w:val="Normal"/>
    <w:link w:val="NoSpacingChar"/>
    <w:semiHidden/>
    <w:qFormat/>
    <w:rsid w:val="00CD4158"/>
    <w:rPr>
      <w:sz w:val="22"/>
    </w:rPr>
  </w:style>
  <w:style w:type="character" w:customStyle="1" w:styleId="NoSpacingChar">
    <w:name w:val="No Spacing Char"/>
    <w:link w:val="NoSpacing"/>
    <w:semiHidden/>
    <w:rsid w:val="00CD4158"/>
    <w:rPr>
      <w:rFonts w:eastAsia="MS Mincho"/>
      <w:lang w:val="bg-BG" w:eastAsia="bg-BG"/>
    </w:rPr>
  </w:style>
  <w:style w:type="paragraph" w:styleId="ListParagraph">
    <w:name w:val="List Paragraph"/>
    <w:basedOn w:val="Normal"/>
    <w:uiPriority w:val="99"/>
    <w:semiHidden/>
    <w:qFormat/>
    <w:rsid w:val="00CD4158"/>
    <w:pPr>
      <w:ind w:left="720"/>
      <w:contextualSpacing/>
    </w:pPr>
  </w:style>
  <w:style w:type="paragraph" w:styleId="Quote">
    <w:name w:val="Quote"/>
    <w:basedOn w:val="Normal"/>
    <w:next w:val="Normal"/>
    <w:link w:val="QuoteChar"/>
    <w:uiPriority w:val="99"/>
    <w:semiHidden/>
    <w:qFormat/>
    <w:rsid w:val="00CD4158"/>
    <w:pPr>
      <w:spacing w:before="200"/>
      <w:ind w:left="360" w:right="360"/>
    </w:pPr>
    <w:rPr>
      <w:i/>
      <w:iCs/>
      <w:sz w:val="22"/>
      <w:lang w:bidi="en-US"/>
    </w:rPr>
  </w:style>
  <w:style w:type="character" w:customStyle="1" w:styleId="QuoteChar">
    <w:name w:val="Quote Char"/>
    <w:link w:val="Quote"/>
    <w:uiPriority w:val="99"/>
    <w:semiHidden/>
    <w:rsid w:val="00CD4158"/>
    <w:rPr>
      <w:rFonts w:eastAsia="MS Mincho"/>
      <w:i/>
      <w:iCs/>
      <w:lang w:val="bg-BG" w:eastAsia="bg-BG" w:bidi="en-US"/>
    </w:rPr>
  </w:style>
  <w:style w:type="paragraph" w:styleId="IntenseQuote">
    <w:name w:val="Intense Quote"/>
    <w:basedOn w:val="Normal"/>
    <w:next w:val="Normal"/>
    <w:link w:val="IntenseQuoteChar"/>
    <w:uiPriority w:val="99"/>
    <w:semiHidden/>
    <w:qFormat/>
    <w:rsid w:val="00CD4158"/>
    <w:pPr>
      <w:pBdr>
        <w:bottom w:val="single" w:sz="4" w:space="1" w:color="auto"/>
      </w:pBdr>
      <w:spacing w:before="200" w:after="280"/>
      <w:ind w:left="1008" w:right="1152"/>
    </w:pPr>
    <w:rPr>
      <w:b/>
      <w:bCs/>
      <w:i/>
      <w:iCs/>
      <w:sz w:val="22"/>
      <w:lang w:bidi="en-US"/>
    </w:rPr>
  </w:style>
  <w:style w:type="character" w:customStyle="1" w:styleId="IntenseQuoteChar">
    <w:name w:val="Intense Quote Char"/>
    <w:link w:val="IntenseQuote"/>
    <w:uiPriority w:val="99"/>
    <w:semiHidden/>
    <w:rsid w:val="00CD4158"/>
    <w:rPr>
      <w:rFonts w:eastAsia="MS Mincho"/>
      <w:b/>
      <w:bCs/>
      <w:i/>
      <w:iCs/>
      <w:lang w:val="bg-BG" w:eastAsia="bg-BG" w:bidi="en-US"/>
    </w:rPr>
  </w:style>
  <w:style w:type="character" w:styleId="SubtleEmphasis">
    <w:name w:val="Subtle Emphasis"/>
    <w:uiPriority w:val="99"/>
    <w:semiHidden/>
    <w:qFormat/>
    <w:rsid w:val="00CD4158"/>
    <w:rPr>
      <w:i/>
      <w:iCs/>
      <w:lang w:val="bg-BG" w:eastAsia="bg-BG"/>
    </w:rPr>
  </w:style>
  <w:style w:type="character" w:styleId="IntenseEmphasis">
    <w:name w:val="Intense Emphasis"/>
    <w:uiPriority w:val="99"/>
    <w:semiHidden/>
    <w:qFormat/>
    <w:rsid w:val="00CD4158"/>
    <w:rPr>
      <w:b/>
      <w:bCs/>
      <w:lang w:val="bg-BG" w:eastAsia="bg-BG"/>
    </w:rPr>
  </w:style>
  <w:style w:type="character" w:styleId="SubtleReference">
    <w:name w:val="Subtle Reference"/>
    <w:uiPriority w:val="99"/>
    <w:semiHidden/>
    <w:qFormat/>
    <w:rsid w:val="00CD4158"/>
    <w:rPr>
      <w:smallCaps/>
      <w:lang w:val="bg-BG" w:eastAsia="bg-BG"/>
    </w:rPr>
  </w:style>
  <w:style w:type="character" w:styleId="IntenseReference">
    <w:name w:val="Intense Reference"/>
    <w:uiPriority w:val="99"/>
    <w:semiHidden/>
    <w:qFormat/>
    <w:rsid w:val="00CD4158"/>
    <w:rPr>
      <w:smallCaps/>
      <w:spacing w:val="5"/>
      <w:u w:val="single"/>
      <w:lang w:val="bg-BG" w:eastAsia="bg-BG"/>
    </w:rPr>
  </w:style>
  <w:style w:type="character" w:styleId="BookTitle">
    <w:name w:val="Book Title"/>
    <w:uiPriority w:val="99"/>
    <w:semiHidden/>
    <w:qFormat/>
    <w:rsid w:val="00CD4158"/>
    <w:rPr>
      <w:i/>
      <w:iCs/>
      <w:smallCaps/>
      <w:spacing w:val="5"/>
      <w:lang w:val="bg-BG" w:eastAsia="bg-BG"/>
    </w:rPr>
  </w:style>
  <w:style w:type="paragraph" w:styleId="TOCHeading">
    <w:name w:val="TOC Heading"/>
    <w:basedOn w:val="Heading1"/>
    <w:next w:val="Normal"/>
    <w:uiPriority w:val="99"/>
    <w:semiHidden/>
    <w:qFormat/>
    <w:rsid w:val="00CD4158"/>
    <w:pPr>
      <w:outlineLvl w:val="9"/>
    </w:pPr>
    <w:rPr>
      <w:color w:val="474747"/>
    </w:rPr>
  </w:style>
  <w:style w:type="numbering" w:styleId="111111">
    <w:name w:val="Outline List 2"/>
    <w:basedOn w:val="NoList"/>
    <w:uiPriority w:val="99"/>
    <w:semiHidden/>
    <w:rsid w:val="00171962"/>
  </w:style>
  <w:style w:type="numbering" w:styleId="1ai">
    <w:name w:val="Outline List 1"/>
    <w:basedOn w:val="NoList"/>
    <w:uiPriority w:val="99"/>
    <w:semiHidden/>
    <w:rsid w:val="00171962"/>
  </w:style>
  <w:style w:type="numbering" w:styleId="ArticleSection">
    <w:name w:val="Outline List 3"/>
    <w:basedOn w:val="NoList"/>
    <w:uiPriority w:val="99"/>
    <w:semiHidden/>
    <w:rsid w:val="00171962"/>
  </w:style>
  <w:style w:type="paragraph" w:styleId="Bibliography">
    <w:name w:val="Bibliography"/>
    <w:basedOn w:val="Normal"/>
    <w:next w:val="Normal"/>
    <w:uiPriority w:val="99"/>
    <w:semiHidden/>
    <w:unhideWhenUsed/>
    <w:rsid w:val="00171962"/>
  </w:style>
  <w:style w:type="paragraph" w:styleId="BlockText">
    <w:name w:val="Block Text"/>
    <w:basedOn w:val="Normal"/>
    <w:uiPriority w:val="99"/>
    <w:semiHidden/>
    <w:rsid w:val="00171962"/>
    <w:pPr>
      <w:pBdr>
        <w:top w:val="single" w:sz="2" w:space="10" w:color="0072BC" w:shadow="1" w:frame="1"/>
        <w:left w:val="single" w:sz="2" w:space="10" w:color="0072BC" w:shadow="1" w:frame="1"/>
        <w:bottom w:val="single" w:sz="2" w:space="10" w:color="0072BC" w:shadow="1" w:frame="1"/>
        <w:right w:val="single" w:sz="2" w:space="10" w:color="0072BC" w:shadow="1" w:frame="1"/>
      </w:pBdr>
      <w:ind w:left="1152" w:right="1152"/>
    </w:pPr>
    <w:rPr>
      <w:i/>
      <w:iCs/>
      <w:color w:val="0072BC"/>
    </w:rPr>
  </w:style>
  <w:style w:type="paragraph" w:styleId="BodyText">
    <w:name w:val="Body Text"/>
    <w:basedOn w:val="Normal"/>
    <w:link w:val="BodyTextChar"/>
    <w:uiPriority w:val="99"/>
    <w:semiHidden/>
    <w:rsid w:val="00171962"/>
    <w:pPr>
      <w:spacing w:after="120"/>
    </w:pPr>
  </w:style>
  <w:style w:type="character" w:customStyle="1" w:styleId="BodyTextChar">
    <w:name w:val="Body Text Char"/>
    <w:link w:val="BodyText"/>
    <w:rsid w:val="00171962"/>
    <w:rPr>
      <w:sz w:val="24"/>
      <w:lang w:val="bg-BG" w:eastAsia="bg-BG"/>
    </w:rPr>
  </w:style>
  <w:style w:type="paragraph" w:styleId="BodyText2">
    <w:name w:val="Body Text 2"/>
    <w:basedOn w:val="Normal"/>
    <w:link w:val="BodyText2Char"/>
    <w:uiPriority w:val="99"/>
    <w:semiHidden/>
    <w:rsid w:val="00171962"/>
    <w:pPr>
      <w:spacing w:after="120" w:line="480" w:lineRule="auto"/>
    </w:pPr>
  </w:style>
  <w:style w:type="character" w:customStyle="1" w:styleId="BodyText2Char">
    <w:name w:val="Body Text 2 Char"/>
    <w:link w:val="BodyText2"/>
    <w:rsid w:val="00171962"/>
    <w:rPr>
      <w:sz w:val="24"/>
      <w:lang w:val="bg-BG" w:eastAsia="bg-BG"/>
    </w:rPr>
  </w:style>
  <w:style w:type="paragraph" w:styleId="BodyText3">
    <w:name w:val="Body Text 3"/>
    <w:basedOn w:val="Normal"/>
    <w:link w:val="BodyText3Char"/>
    <w:uiPriority w:val="99"/>
    <w:semiHidden/>
    <w:rsid w:val="00171962"/>
    <w:pPr>
      <w:spacing w:after="120"/>
    </w:pPr>
    <w:rPr>
      <w:sz w:val="16"/>
      <w:szCs w:val="16"/>
    </w:rPr>
  </w:style>
  <w:style w:type="character" w:customStyle="1" w:styleId="BodyText3Char">
    <w:name w:val="Body Text 3 Char"/>
    <w:link w:val="BodyText3"/>
    <w:rsid w:val="00171962"/>
    <w:rPr>
      <w:sz w:val="16"/>
      <w:szCs w:val="16"/>
      <w:lang w:val="bg-BG" w:eastAsia="bg-BG"/>
    </w:rPr>
  </w:style>
  <w:style w:type="paragraph" w:styleId="BodyTextFirstIndent">
    <w:name w:val="Body Text First Indent"/>
    <w:basedOn w:val="BodyText"/>
    <w:link w:val="BodyTextFirstIndentChar"/>
    <w:uiPriority w:val="99"/>
    <w:semiHidden/>
    <w:rsid w:val="00171962"/>
    <w:pPr>
      <w:spacing w:after="0"/>
      <w:ind w:firstLine="360"/>
    </w:pPr>
  </w:style>
  <w:style w:type="character" w:customStyle="1" w:styleId="BodyTextFirstIndentChar">
    <w:name w:val="Body Text First Indent Char"/>
    <w:link w:val="BodyTextFirstIndent"/>
    <w:rsid w:val="00171962"/>
    <w:rPr>
      <w:sz w:val="24"/>
      <w:lang w:val="bg-BG" w:eastAsia="bg-BG"/>
    </w:rPr>
  </w:style>
  <w:style w:type="paragraph" w:styleId="BodyTextIndent">
    <w:name w:val="Body Text Indent"/>
    <w:basedOn w:val="Normal"/>
    <w:link w:val="BodyTextIndentChar"/>
    <w:uiPriority w:val="99"/>
    <w:semiHidden/>
    <w:rsid w:val="00171962"/>
    <w:pPr>
      <w:spacing w:after="120"/>
      <w:ind w:left="283"/>
    </w:pPr>
  </w:style>
  <w:style w:type="character" w:customStyle="1" w:styleId="BodyTextIndentChar">
    <w:name w:val="Body Text Indent Char"/>
    <w:link w:val="BodyTextIndent"/>
    <w:rsid w:val="00171962"/>
    <w:rPr>
      <w:sz w:val="24"/>
      <w:lang w:val="bg-BG" w:eastAsia="bg-BG"/>
    </w:rPr>
  </w:style>
  <w:style w:type="paragraph" w:styleId="BodyTextFirstIndent2">
    <w:name w:val="Body Text First Indent 2"/>
    <w:basedOn w:val="BodyTextIndent"/>
    <w:link w:val="BodyTextFirstIndent2Char"/>
    <w:uiPriority w:val="99"/>
    <w:semiHidden/>
    <w:rsid w:val="00171962"/>
    <w:pPr>
      <w:spacing w:after="0"/>
      <w:ind w:left="360" w:firstLine="360"/>
    </w:pPr>
  </w:style>
  <w:style w:type="character" w:customStyle="1" w:styleId="BodyTextFirstIndent2Char">
    <w:name w:val="Body Text First Indent 2 Char"/>
    <w:link w:val="BodyTextFirstIndent2"/>
    <w:rsid w:val="00171962"/>
    <w:rPr>
      <w:sz w:val="24"/>
      <w:lang w:val="bg-BG" w:eastAsia="bg-BG"/>
    </w:rPr>
  </w:style>
  <w:style w:type="paragraph" w:styleId="BodyTextIndent2">
    <w:name w:val="Body Text Indent 2"/>
    <w:basedOn w:val="Normal"/>
    <w:link w:val="BodyTextIndent2Char"/>
    <w:uiPriority w:val="99"/>
    <w:semiHidden/>
    <w:rsid w:val="00171962"/>
    <w:pPr>
      <w:spacing w:after="120" w:line="480" w:lineRule="auto"/>
      <w:ind w:left="283"/>
    </w:pPr>
  </w:style>
  <w:style w:type="character" w:customStyle="1" w:styleId="BodyTextIndent2Char">
    <w:name w:val="Body Text Indent 2 Char"/>
    <w:link w:val="BodyTextIndent2"/>
    <w:rsid w:val="00171962"/>
    <w:rPr>
      <w:sz w:val="24"/>
      <w:lang w:val="bg-BG" w:eastAsia="bg-BG"/>
    </w:rPr>
  </w:style>
  <w:style w:type="paragraph" w:styleId="BodyTextIndent3">
    <w:name w:val="Body Text Indent 3"/>
    <w:basedOn w:val="Normal"/>
    <w:link w:val="BodyTextIndent3Char"/>
    <w:uiPriority w:val="99"/>
    <w:semiHidden/>
    <w:rsid w:val="00171962"/>
    <w:pPr>
      <w:spacing w:after="120"/>
      <w:ind w:left="283"/>
    </w:pPr>
    <w:rPr>
      <w:sz w:val="16"/>
      <w:szCs w:val="16"/>
    </w:rPr>
  </w:style>
  <w:style w:type="character" w:customStyle="1" w:styleId="BodyTextIndent3Char">
    <w:name w:val="Body Text Indent 3 Char"/>
    <w:link w:val="BodyTextIndent3"/>
    <w:rsid w:val="00171962"/>
    <w:rPr>
      <w:sz w:val="16"/>
      <w:szCs w:val="16"/>
      <w:lang w:val="bg-BG" w:eastAsia="bg-BG"/>
    </w:rPr>
  </w:style>
  <w:style w:type="paragraph" w:styleId="Caption">
    <w:name w:val="caption"/>
    <w:basedOn w:val="Normal"/>
    <w:next w:val="Normal"/>
    <w:uiPriority w:val="99"/>
    <w:semiHidden/>
    <w:qFormat/>
    <w:rsid w:val="00171962"/>
    <w:pPr>
      <w:spacing w:after="200"/>
    </w:pPr>
    <w:rPr>
      <w:b/>
      <w:bCs/>
      <w:color w:val="0072BC"/>
      <w:sz w:val="18"/>
      <w:szCs w:val="18"/>
    </w:rPr>
  </w:style>
  <w:style w:type="paragraph" w:styleId="Closing">
    <w:name w:val="Closing"/>
    <w:basedOn w:val="Normal"/>
    <w:link w:val="ClosingChar"/>
    <w:uiPriority w:val="99"/>
    <w:semiHidden/>
    <w:rsid w:val="00171962"/>
    <w:pPr>
      <w:ind w:left="4252"/>
    </w:pPr>
  </w:style>
  <w:style w:type="character" w:customStyle="1" w:styleId="ClosingChar">
    <w:name w:val="Closing Char"/>
    <w:link w:val="Closing"/>
    <w:rsid w:val="00171962"/>
    <w:rPr>
      <w:sz w:val="24"/>
      <w:lang w:val="bg-BG" w:eastAsia="bg-BG"/>
    </w:rPr>
  </w:style>
  <w:style w:type="table" w:styleId="ColorfulGrid">
    <w:name w:val="Colorful Grid"/>
    <w:basedOn w:val="TableNormal"/>
    <w:uiPriority w:val="99"/>
    <w:semiHidden/>
    <w:rsid w:val="00171962"/>
    <w:rPr>
      <w:color w:val="000000"/>
    </w:rPr>
    <w:tblPr>
      <w:tblStyleRowBandSize w:val="1"/>
      <w:tblStyleColBandSize w:val="1"/>
      <w:tblInd w:w="0" w:type="dxa"/>
      <w:tblBorders>
        <w:insideH w:val="single" w:sz="4" w:space="0" w:color="0072BC"/>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99"/>
    <w:semiHidden/>
    <w:rsid w:val="00171962"/>
    <w:rPr>
      <w:color w:val="000000"/>
    </w:rPr>
    <w:tblPr>
      <w:tblStyleRowBandSize w:val="1"/>
      <w:tblStyleColBandSize w:val="1"/>
      <w:tblInd w:w="0" w:type="dxa"/>
      <w:tblBorders>
        <w:insideH w:val="single" w:sz="4" w:space="0" w:color="0072BC"/>
      </w:tblBorders>
      <w:tblCellMar>
        <w:top w:w="0" w:type="dxa"/>
        <w:left w:w="108" w:type="dxa"/>
        <w:bottom w:w="0" w:type="dxa"/>
        <w:right w:w="108" w:type="dxa"/>
      </w:tblCellMar>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styleId="ColorfulGrid-Accent2">
    <w:name w:val="Colorful Grid Accent 2"/>
    <w:basedOn w:val="TableNormal"/>
    <w:uiPriority w:val="99"/>
    <w:semiHidden/>
    <w:rsid w:val="00171962"/>
    <w:rPr>
      <w:color w:val="000000"/>
    </w:rPr>
    <w:tblPr>
      <w:tblStyleRowBandSize w:val="1"/>
      <w:tblStyleColBandSize w:val="1"/>
      <w:tblInd w:w="0" w:type="dxa"/>
      <w:tblBorders>
        <w:insideH w:val="single" w:sz="4" w:space="0" w:color="0072BC"/>
      </w:tblBorders>
      <w:tblCellMar>
        <w:top w:w="0" w:type="dxa"/>
        <w:left w:w="108" w:type="dxa"/>
        <w:bottom w:w="0" w:type="dxa"/>
        <w:right w:w="108" w:type="dxa"/>
      </w:tblCellMar>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styleId="ColorfulGrid-Accent3">
    <w:name w:val="Colorful Grid Accent 3"/>
    <w:basedOn w:val="TableNormal"/>
    <w:uiPriority w:val="99"/>
    <w:semiHidden/>
    <w:rsid w:val="00171962"/>
    <w:rPr>
      <w:color w:val="000000"/>
    </w:rPr>
    <w:tblPr>
      <w:tblStyleRowBandSize w:val="1"/>
      <w:tblStyleColBandSize w:val="1"/>
      <w:tblInd w:w="0" w:type="dxa"/>
      <w:tblBorders>
        <w:insideH w:val="single" w:sz="4" w:space="0" w:color="0072BC"/>
      </w:tblBorders>
      <w:tblCellMar>
        <w:top w:w="0" w:type="dxa"/>
        <w:left w:w="108" w:type="dxa"/>
        <w:bottom w:w="0" w:type="dxa"/>
        <w:right w:w="108" w:type="dxa"/>
      </w:tblCellMar>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4">
    <w:name w:val="Colorful Grid Accent 4"/>
    <w:basedOn w:val="TableNormal"/>
    <w:uiPriority w:val="99"/>
    <w:semiHidden/>
    <w:rsid w:val="00171962"/>
    <w:rPr>
      <w:color w:val="000000"/>
    </w:rPr>
    <w:tblPr>
      <w:tblStyleRowBandSize w:val="1"/>
      <w:tblStyleColBandSize w:val="1"/>
      <w:tblInd w:w="0" w:type="dxa"/>
      <w:tblBorders>
        <w:insideH w:val="single" w:sz="4" w:space="0" w:color="0072BC"/>
      </w:tblBorders>
      <w:tblCellMar>
        <w:top w:w="0" w:type="dxa"/>
        <w:left w:w="108" w:type="dxa"/>
        <w:bottom w:w="0" w:type="dxa"/>
        <w:right w:w="108" w:type="dxa"/>
      </w:tblCellMar>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5">
    <w:name w:val="Colorful Grid Accent 5"/>
    <w:basedOn w:val="TableNormal"/>
    <w:uiPriority w:val="99"/>
    <w:semiHidden/>
    <w:rsid w:val="00171962"/>
    <w:rPr>
      <w:color w:val="000000"/>
    </w:rPr>
    <w:tblPr>
      <w:tblStyleRowBandSize w:val="1"/>
      <w:tblStyleColBandSize w:val="1"/>
      <w:tblInd w:w="0" w:type="dxa"/>
      <w:tblBorders>
        <w:insideH w:val="single" w:sz="4" w:space="0" w:color="0072BC"/>
      </w:tblBorders>
      <w:tblCellMar>
        <w:top w:w="0" w:type="dxa"/>
        <w:left w:w="108" w:type="dxa"/>
        <w:bottom w:w="0" w:type="dxa"/>
        <w:right w:w="108" w:type="dxa"/>
      </w:tblCellMar>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99"/>
    <w:semiHidden/>
    <w:rsid w:val="00171962"/>
    <w:rPr>
      <w:color w:val="000000"/>
    </w:rPr>
    <w:tblPr>
      <w:tblStyleRowBandSize w:val="1"/>
      <w:tblStyleColBandSize w:val="1"/>
      <w:tblInd w:w="0" w:type="dxa"/>
      <w:tblBorders>
        <w:insideH w:val="single" w:sz="4" w:space="0" w:color="0072BC"/>
      </w:tblBorders>
      <w:tblCellMar>
        <w:top w:w="0" w:type="dxa"/>
        <w:left w:w="108" w:type="dxa"/>
        <w:bottom w:w="0" w:type="dxa"/>
        <w:right w:w="108" w:type="dxa"/>
      </w:tblCellMar>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styleId="ColorfulList">
    <w:name w:val="Colorful List"/>
    <w:basedOn w:val="TableNormal"/>
    <w:uiPriority w:val="99"/>
    <w:semiHidden/>
    <w:rsid w:val="00171962"/>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99"/>
    <w:semiHidden/>
    <w:rsid w:val="00171962"/>
    <w:rPr>
      <w:color w:val="000000"/>
    </w:rPr>
    <w:tblPr>
      <w:tblStyleRowBandSize w:val="1"/>
      <w:tblStyleColBandSize w:val="1"/>
      <w:tblInd w:w="0" w:type="dxa"/>
      <w:tblCellMar>
        <w:top w:w="0" w:type="dxa"/>
        <w:left w:w="108" w:type="dxa"/>
        <w:bottom w:w="0" w:type="dxa"/>
        <w:right w:w="108" w:type="dxa"/>
      </w:tblCellMar>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styleId="ColorfulList-Accent2">
    <w:name w:val="Colorful List Accent 2"/>
    <w:basedOn w:val="TableNormal"/>
    <w:uiPriority w:val="99"/>
    <w:semiHidden/>
    <w:rsid w:val="00171962"/>
    <w:rPr>
      <w:color w:val="000000"/>
    </w:rPr>
    <w:tblPr>
      <w:tblStyleRowBandSize w:val="1"/>
      <w:tblStyleColBandSize w:val="1"/>
      <w:tblInd w:w="0" w:type="dxa"/>
      <w:tblCellMar>
        <w:top w:w="0" w:type="dxa"/>
        <w:left w:w="108" w:type="dxa"/>
        <w:bottom w:w="0" w:type="dxa"/>
        <w:right w:w="108" w:type="dxa"/>
      </w:tblCellMar>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styleId="ColorfulList-Accent3">
    <w:name w:val="Colorful List Accent 3"/>
    <w:basedOn w:val="TableNormal"/>
    <w:uiPriority w:val="99"/>
    <w:semiHidden/>
    <w:rsid w:val="00171962"/>
    <w:rPr>
      <w:color w:val="000000"/>
    </w:rPr>
    <w:tblPr>
      <w:tblStyleRowBandSize w:val="1"/>
      <w:tblStyleColBandSize w:val="1"/>
      <w:tblInd w:w="0" w:type="dxa"/>
      <w:tblCellMar>
        <w:top w:w="0" w:type="dxa"/>
        <w:left w:w="108" w:type="dxa"/>
        <w:bottom w:w="0" w:type="dxa"/>
        <w:right w:w="108" w:type="dxa"/>
      </w:tblCellMar>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4">
    <w:name w:val="Colorful List Accent 4"/>
    <w:basedOn w:val="TableNormal"/>
    <w:uiPriority w:val="99"/>
    <w:semiHidden/>
    <w:rsid w:val="00171962"/>
    <w:rPr>
      <w:color w:val="000000"/>
    </w:rPr>
    <w:tblPr>
      <w:tblStyleRowBandSize w:val="1"/>
      <w:tblStyleColBandSize w:val="1"/>
      <w:tblInd w:w="0" w:type="dxa"/>
      <w:tblCellMar>
        <w:top w:w="0" w:type="dxa"/>
        <w:left w:w="108" w:type="dxa"/>
        <w:bottom w:w="0" w:type="dxa"/>
        <w:right w:w="108" w:type="dxa"/>
      </w:tblCellMar>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5">
    <w:name w:val="Colorful List Accent 5"/>
    <w:basedOn w:val="TableNormal"/>
    <w:uiPriority w:val="99"/>
    <w:semiHidden/>
    <w:rsid w:val="00171962"/>
    <w:rPr>
      <w:color w:val="000000"/>
    </w:rPr>
    <w:tblPr>
      <w:tblStyleRowBandSize w:val="1"/>
      <w:tblStyleColBandSize w:val="1"/>
      <w:tblInd w:w="0" w:type="dxa"/>
      <w:tblCellMar>
        <w:top w:w="0" w:type="dxa"/>
        <w:left w:w="108" w:type="dxa"/>
        <w:bottom w:w="0" w:type="dxa"/>
        <w:right w:w="108" w:type="dxa"/>
      </w:tblCellMar>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99"/>
    <w:semiHidden/>
    <w:rsid w:val="00171962"/>
    <w:rPr>
      <w:color w:val="000000"/>
    </w:rPr>
    <w:tblPr>
      <w:tblStyleRowBandSize w:val="1"/>
      <w:tblStyleColBandSize w:val="1"/>
      <w:tblInd w:w="0" w:type="dxa"/>
      <w:tblCellMar>
        <w:top w:w="0" w:type="dxa"/>
        <w:left w:w="108" w:type="dxa"/>
        <w:bottom w:w="0" w:type="dxa"/>
        <w:right w:w="108" w:type="dxa"/>
      </w:tblCellMar>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styleId="ColorfulShading">
    <w:name w:val="Colorful Shading"/>
    <w:basedOn w:val="TableNormal"/>
    <w:uiPriority w:val="99"/>
    <w:semiHidden/>
    <w:rsid w:val="00171962"/>
    <w:rPr>
      <w:color w:val="000000"/>
    </w:rPr>
    <w:tblPr>
      <w:tblStyleRowBandSize w:val="1"/>
      <w:tblStyleColBandSize w:val="1"/>
      <w:tblInd w:w="0" w:type="dxa"/>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99"/>
    <w:semiHidden/>
    <w:rsid w:val="00171962"/>
    <w:rPr>
      <w:color w:val="000000"/>
    </w:rPr>
    <w:tblPr>
      <w:tblStyleRowBandSize w:val="1"/>
      <w:tblStyleColBandSize w:val="1"/>
      <w:tblInd w:w="0" w:type="dxa"/>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CellMar>
        <w:top w:w="0" w:type="dxa"/>
        <w:left w:w="108" w:type="dxa"/>
        <w:bottom w:w="0" w:type="dxa"/>
        <w:right w:w="108" w:type="dxa"/>
      </w:tblCellMar>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99"/>
    <w:semiHidden/>
    <w:rsid w:val="00171962"/>
    <w:rPr>
      <w:color w:val="000000"/>
    </w:rPr>
    <w:tblPr>
      <w:tblStyleRowBandSize w:val="1"/>
      <w:tblStyleColBandSize w:val="1"/>
      <w:tblInd w:w="0" w:type="dxa"/>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CellMar>
        <w:top w:w="0" w:type="dxa"/>
        <w:left w:w="108" w:type="dxa"/>
        <w:bottom w:w="0" w:type="dxa"/>
        <w:right w:w="108" w:type="dxa"/>
      </w:tblCellMar>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99"/>
    <w:semiHidden/>
    <w:rsid w:val="00171962"/>
    <w:rPr>
      <w:color w:val="000000"/>
    </w:rPr>
    <w:tblPr>
      <w:tblStyleRowBandSize w:val="1"/>
      <w:tblStyleColBandSize w:val="1"/>
      <w:tblInd w:w="0" w:type="dxa"/>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CellMar>
        <w:top w:w="0" w:type="dxa"/>
        <w:left w:w="108" w:type="dxa"/>
        <w:bottom w:w="0" w:type="dxa"/>
        <w:right w:w="108" w:type="dxa"/>
      </w:tblCellMar>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styleId="ColorfulShading-Accent4">
    <w:name w:val="Colorful Shading Accent 4"/>
    <w:basedOn w:val="TableNormal"/>
    <w:uiPriority w:val="99"/>
    <w:semiHidden/>
    <w:rsid w:val="00171962"/>
    <w:rPr>
      <w:color w:val="000000"/>
    </w:rPr>
    <w:tblPr>
      <w:tblStyleRowBandSize w:val="1"/>
      <w:tblStyleColBandSize w:val="1"/>
      <w:tblInd w:w="0" w:type="dxa"/>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CellMar>
        <w:top w:w="0" w:type="dxa"/>
        <w:left w:w="108" w:type="dxa"/>
        <w:bottom w:w="0" w:type="dxa"/>
        <w:right w:w="108" w:type="dxa"/>
      </w:tblCellMar>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99"/>
    <w:semiHidden/>
    <w:rsid w:val="00171962"/>
    <w:rPr>
      <w:color w:val="000000"/>
    </w:rPr>
    <w:tblPr>
      <w:tblStyleRowBandSize w:val="1"/>
      <w:tblStyleColBandSize w:val="1"/>
      <w:tblInd w:w="0" w:type="dxa"/>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CellMar>
        <w:top w:w="0" w:type="dxa"/>
        <w:left w:w="108" w:type="dxa"/>
        <w:bottom w:w="0" w:type="dxa"/>
        <w:right w:w="108" w:type="dxa"/>
      </w:tblCellMar>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99"/>
    <w:semiHidden/>
    <w:rsid w:val="00171962"/>
    <w:rPr>
      <w:color w:val="000000"/>
    </w:rPr>
    <w:tblPr>
      <w:tblStyleRowBandSize w:val="1"/>
      <w:tblStyleColBandSize w:val="1"/>
      <w:tblInd w:w="0" w:type="dxa"/>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CellMar>
        <w:top w:w="0" w:type="dxa"/>
        <w:left w:w="108" w:type="dxa"/>
        <w:bottom w:w="0" w:type="dxa"/>
        <w:right w:w="108" w:type="dxa"/>
      </w:tblCellMar>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table" w:styleId="DarkList">
    <w:name w:val="Dark List"/>
    <w:basedOn w:val="TableNormal"/>
    <w:uiPriority w:val="99"/>
    <w:semiHidden/>
    <w:rsid w:val="00171962"/>
    <w:rPr>
      <w:color w:val="0072BC"/>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9"/>
    <w:semiHidden/>
    <w:rsid w:val="00171962"/>
    <w:rPr>
      <w:color w:val="0072BC"/>
    </w:rPr>
    <w:tblPr>
      <w:tblStyleRowBandSize w:val="1"/>
      <w:tblStyleColBandSize w:val="1"/>
      <w:tblInd w:w="0" w:type="dxa"/>
      <w:tblCellMar>
        <w:top w:w="0" w:type="dxa"/>
        <w:left w:w="108" w:type="dxa"/>
        <w:bottom w:w="0" w:type="dxa"/>
        <w:right w:w="108" w:type="dxa"/>
      </w:tblCellMar>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99"/>
    <w:semiHidden/>
    <w:rsid w:val="00171962"/>
    <w:rPr>
      <w:color w:val="0072BC"/>
    </w:rPr>
    <w:tblPr>
      <w:tblStyleRowBandSize w:val="1"/>
      <w:tblStyleColBandSize w:val="1"/>
      <w:tblInd w:w="0" w:type="dxa"/>
      <w:tblCellMar>
        <w:top w:w="0" w:type="dxa"/>
        <w:left w:w="108" w:type="dxa"/>
        <w:bottom w:w="0" w:type="dxa"/>
        <w:right w:w="108" w:type="dxa"/>
      </w:tblCellMar>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99"/>
    <w:semiHidden/>
    <w:rsid w:val="00171962"/>
    <w:rPr>
      <w:color w:val="0072BC"/>
    </w:rPr>
    <w:tblPr>
      <w:tblStyleRowBandSize w:val="1"/>
      <w:tblStyleColBandSize w:val="1"/>
      <w:tblInd w:w="0" w:type="dxa"/>
      <w:tblCellMar>
        <w:top w:w="0" w:type="dxa"/>
        <w:left w:w="108" w:type="dxa"/>
        <w:bottom w:w="0" w:type="dxa"/>
        <w:right w:w="108" w:type="dxa"/>
      </w:tblCellMar>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99"/>
    <w:semiHidden/>
    <w:rsid w:val="00171962"/>
    <w:rPr>
      <w:color w:val="0072BC"/>
    </w:rPr>
    <w:tblPr>
      <w:tblStyleRowBandSize w:val="1"/>
      <w:tblStyleColBandSize w:val="1"/>
      <w:tblInd w:w="0" w:type="dxa"/>
      <w:tblCellMar>
        <w:top w:w="0" w:type="dxa"/>
        <w:left w:w="108" w:type="dxa"/>
        <w:bottom w:w="0" w:type="dxa"/>
        <w:right w:w="108" w:type="dxa"/>
      </w:tblCellMar>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99"/>
    <w:semiHidden/>
    <w:rsid w:val="00171962"/>
    <w:rPr>
      <w:color w:val="0072BC"/>
    </w:rPr>
    <w:tblPr>
      <w:tblStyleRowBandSize w:val="1"/>
      <w:tblStyleColBandSize w:val="1"/>
      <w:tblInd w:w="0" w:type="dxa"/>
      <w:tblCellMar>
        <w:top w:w="0" w:type="dxa"/>
        <w:left w:w="108" w:type="dxa"/>
        <w:bottom w:w="0" w:type="dxa"/>
        <w:right w:w="108" w:type="dxa"/>
      </w:tblCellMar>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99"/>
    <w:semiHidden/>
    <w:rsid w:val="00171962"/>
    <w:rPr>
      <w:color w:val="0072BC"/>
    </w:rPr>
    <w:tblPr>
      <w:tblStyleRowBandSize w:val="1"/>
      <w:tblStyleColBandSize w:val="1"/>
      <w:tblInd w:w="0" w:type="dxa"/>
      <w:tblCellMar>
        <w:top w:w="0" w:type="dxa"/>
        <w:left w:w="108" w:type="dxa"/>
        <w:bottom w:w="0" w:type="dxa"/>
        <w:right w:w="108" w:type="dxa"/>
      </w:tblCellMar>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rsid w:val="00171962"/>
  </w:style>
  <w:style w:type="character" w:customStyle="1" w:styleId="DateChar">
    <w:name w:val="Date Char"/>
    <w:link w:val="Date"/>
    <w:rsid w:val="00171962"/>
    <w:rPr>
      <w:sz w:val="24"/>
      <w:lang w:val="bg-BG" w:eastAsia="bg-BG"/>
    </w:rPr>
  </w:style>
  <w:style w:type="paragraph" w:styleId="E-mailSignature">
    <w:name w:val="E-mail Signature"/>
    <w:basedOn w:val="Normal"/>
    <w:link w:val="E-mailSignatureChar"/>
    <w:uiPriority w:val="99"/>
    <w:semiHidden/>
    <w:rsid w:val="00171962"/>
  </w:style>
  <w:style w:type="character" w:customStyle="1" w:styleId="E-mailSignatureChar">
    <w:name w:val="E-mail Signature Char"/>
    <w:link w:val="E-mailSignature"/>
    <w:rsid w:val="00171962"/>
    <w:rPr>
      <w:sz w:val="24"/>
      <w:lang w:val="bg-BG" w:eastAsia="bg-BG"/>
    </w:rPr>
  </w:style>
  <w:style w:type="paragraph" w:styleId="EnvelopeAddress">
    <w:name w:val="envelope address"/>
    <w:basedOn w:val="Normal"/>
    <w:uiPriority w:val="99"/>
    <w:semiHidden/>
    <w:rsid w:val="00171962"/>
    <w:pPr>
      <w:framePr w:w="7938" w:h="1985" w:hRule="exact" w:hSpace="141" w:wrap="auto" w:hAnchor="page" w:xAlign="center" w:yAlign="bottom"/>
      <w:ind w:left="2835"/>
    </w:pPr>
    <w:rPr>
      <w:rFonts w:eastAsia="MS Gothic"/>
      <w:szCs w:val="24"/>
    </w:rPr>
  </w:style>
  <w:style w:type="paragraph" w:styleId="EnvelopeReturn">
    <w:name w:val="envelope return"/>
    <w:basedOn w:val="Normal"/>
    <w:uiPriority w:val="99"/>
    <w:semiHidden/>
    <w:rsid w:val="00171962"/>
    <w:rPr>
      <w:rFonts w:eastAsia="MS Gothic"/>
      <w:sz w:val="20"/>
      <w:szCs w:val="20"/>
    </w:rPr>
  </w:style>
  <w:style w:type="character" w:styleId="HTMLAcronym">
    <w:name w:val="HTML Acronym"/>
    <w:basedOn w:val="DefaultParagraphFont"/>
    <w:uiPriority w:val="99"/>
    <w:semiHidden/>
    <w:rsid w:val="00171962"/>
  </w:style>
  <w:style w:type="paragraph" w:styleId="HTMLAddress">
    <w:name w:val="HTML Address"/>
    <w:basedOn w:val="Normal"/>
    <w:link w:val="HTMLAddressChar"/>
    <w:uiPriority w:val="99"/>
    <w:semiHidden/>
    <w:rsid w:val="00171962"/>
    <w:rPr>
      <w:i/>
      <w:iCs/>
    </w:rPr>
  </w:style>
  <w:style w:type="character" w:customStyle="1" w:styleId="HTMLAddressChar">
    <w:name w:val="HTML Address Char"/>
    <w:link w:val="HTMLAddress"/>
    <w:rsid w:val="00171962"/>
    <w:rPr>
      <w:i/>
      <w:iCs/>
      <w:sz w:val="24"/>
      <w:lang w:val="bg-BG" w:eastAsia="bg-BG"/>
    </w:rPr>
  </w:style>
  <w:style w:type="character" w:styleId="HTMLCite">
    <w:name w:val="HTML Cite"/>
    <w:uiPriority w:val="99"/>
    <w:semiHidden/>
    <w:rsid w:val="00171962"/>
    <w:rPr>
      <w:i/>
      <w:iCs/>
      <w:lang w:val="bg-BG" w:eastAsia="bg-BG"/>
    </w:rPr>
  </w:style>
  <w:style w:type="character" w:styleId="HTMLCode">
    <w:name w:val="HTML Code"/>
    <w:uiPriority w:val="99"/>
    <w:semiHidden/>
    <w:rsid w:val="00171962"/>
    <w:rPr>
      <w:rFonts w:ascii="Consolas" w:hAnsi="Consolas" w:cs="Consolas"/>
      <w:sz w:val="20"/>
      <w:szCs w:val="20"/>
      <w:lang w:val="bg-BG" w:eastAsia="bg-BG"/>
    </w:rPr>
  </w:style>
  <w:style w:type="character" w:styleId="HTMLDefinition">
    <w:name w:val="HTML Definition"/>
    <w:uiPriority w:val="99"/>
    <w:semiHidden/>
    <w:rsid w:val="00171962"/>
    <w:rPr>
      <w:i/>
      <w:iCs/>
      <w:lang w:val="bg-BG" w:eastAsia="bg-BG"/>
    </w:rPr>
  </w:style>
  <w:style w:type="character" w:styleId="HTMLKeyboard">
    <w:name w:val="HTML Keyboard"/>
    <w:uiPriority w:val="99"/>
    <w:semiHidden/>
    <w:rsid w:val="00171962"/>
    <w:rPr>
      <w:rFonts w:ascii="Consolas" w:hAnsi="Consolas" w:cs="Consolas"/>
      <w:sz w:val="20"/>
      <w:szCs w:val="20"/>
      <w:lang w:val="bg-BG" w:eastAsia="bg-BG"/>
    </w:rPr>
  </w:style>
  <w:style w:type="paragraph" w:styleId="HTMLPreformatted">
    <w:name w:val="HTML Preformatted"/>
    <w:basedOn w:val="Normal"/>
    <w:link w:val="HTMLPreformattedChar"/>
    <w:uiPriority w:val="99"/>
    <w:semiHidden/>
    <w:rsid w:val="00171962"/>
    <w:rPr>
      <w:rFonts w:ascii="Consolas" w:hAnsi="Consolas" w:cs="Consolas"/>
      <w:sz w:val="20"/>
      <w:szCs w:val="20"/>
    </w:rPr>
  </w:style>
  <w:style w:type="character" w:customStyle="1" w:styleId="HTMLPreformattedChar">
    <w:name w:val="HTML Preformatted Char"/>
    <w:link w:val="HTMLPreformatted"/>
    <w:rsid w:val="00171962"/>
    <w:rPr>
      <w:rFonts w:ascii="Consolas" w:hAnsi="Consolas" w:cs="Consolas"/>
      <w:sz w:val="20"/>
      <w:szCs w:val="20"/>
      <w:lang w:val="bg-BG" w:eastAsia="bg-BG"/>
    </w:rPr>
  </w:style>
  <w:style w:type="character" w:styleId="HTMLSample">
    <w:name w:val="HTML Sample"/>
    <w:uiPriority w:val="99"/>
    <w:semiHidden/>
    <w:rsid w:val="00171962"/>
    <w:rPr>
      <w:rFonts w:ascii="Consolas" w:hAnsi="Consolas" w:cs="Consolas"/>
      <w:sz w:val="24"/>
      <w:szCs w:val="24"/>
      <w:lang w:val="bg-BG" w:eastAsia="bg-BG"/>
    </w:rPr>
  </w:style>
  <w:style w:type="character" w:styleId="HTMLTypewriter">
    <w:name w:val="HTML Typewriter"/>
    <w:uiPriority w:val="99"/>
    <w:semiHidden/>
    <w:rsid w:val="00171962"/>
    <w:rPr>
      <w:rFonts w:ascii="Consolas" w:hAnsi="Consolas" w:cs="Consolas"/>
      <w:sz w:val="20"/>
      <w:szCs w:val="20"/>
      <w:lang w:val="bg-BG" w:eastAsia="bg-BG"/>
    </w:rPr>
  </w:style>
  <w:style w:type="character" w:styleId="HTMLVariable">
    <w:name w:val="HTML Variable"/>
    <w:uiPriority w:val="99"/>
    <w:semiHidden/>
    <w:rsid w:val="00171962"/>
    <w:rPr>
      <w:i/>
      <w:iCs/>
      <w:lang w:val="bg-BG" w:eastAsia="bg-BG"/>
    </w:rPr>
  </w:style>
  <w:style w:type="paragraph" w:styleId="Index1">
    <w:name w:val="index 1"/>
    <w:basedOn w:val="Normal"/>
    <w:next w:val="Normal"/>
    <w:autoRedefine/>
    <w:uiPriority w:val="99"/>
    <w:semiHidden/>
    <w:rsid w:val="00171962"/>
    <w:pPr>
      <w:ind w:left="240" w:hanging="240"/>
    </w:pPr>
  </w:style>
  <w:style w:type="paragraph" w:styleId="Index2">
    <w:name w:val="index 2"/>
    <w:basedOn w:val="Normal"/>
    <w:next w:val="Normal"/>
    <w:autoRedefine/>
    <w:uiPriority w:val="99"/>
    <w:semiHidden/>
    <w:rsid w:val="00171962"/>
    <w:pPr>
      <w:ind w:left="480" w:hanging="240"/>
    </w:pPr>
  </w:style>
  <w:style w:type="paragraph" w:styleId="Index3">
    <w:name w:val="index 3"/>
    <w:basedOn w:val="Normal"/>
    <w:next w:val="Normal"/>
    <w:autoRedefine/>
    <w:uiPriority w:val="99"/>
    <w:semiHidden/>
    <w:rsid w:val="00171962"/>
    <w:pPr>
      <w:ind w:left="720" w:hanging="240"/>
    </w:pPr>
  </w:style>
  <w:style w:type="paragraph" w:styleId="Index4">
    <w:name w:val="index 4"/>
    <w:basedOn w:val="Normal"/>
    <w:next w:val="Normal"/>
    <w:autoRedefine/>
    <w:uiPriority w:val="99"/>
    <w:semiHidden/>
    <w:rsid w:val="00171962"/>
    <w:pPr>
      <w:ind w:left="960" w:hanging="240"/>
    </w:pPr>
  </w:style>
  <w:style w:type="paragraph" w:styleId="Index5">
    <w:name w:val="index 5"/>
    <w:basedOn w:val="Normal"/>
    <w:next w:val="Normal"/>
    <w:autoRedefine/>
    <w:uiPriority w:val="99"/>
    <w:semiHidden/>
    <w:rsid w:val="00171962"/>
    <w:pPr>
      <w:ind w:left="1200" w:hanging="240"/>
    </w:pPr>
  </w:style>
  <w:style w:type="paragraph" w:styleId="Index6">
    <w:name w:val="index 6"/>
    <w:basedOn w:val="Normal"/>
    <w:next w:val="Normal"/>
    <w:autoRedefine/>
    <w:uiPriority w:val="99"/>
    <w:semiHidden/>
    <w:rsid w:val="00171962"/>
    <w:pPr>
      <w:ind w:left="1440" w:hanging="240"/>
    </w:pPr>
  </w:style>
  <w:style w:type="paragraph" w:styleId="Index7">
    <w:name w:val="index 7"/>
    <w:basedOn w:val="Normal"/>
    <w:next w:val="Normal"/>
    <w:autoRedefine/>
    <w:uiPriority w:val="99"/>
    <w:semiHidden/>
    <w:rsid w:val="00171962"/>
    <w:pPr>
      <w:ind w:left="1680" w:hanging="240"/>
    </w:pPr>
  </w:style>
  <w:style w:type="paragraph" w:styleId="Index8">
    <w:name w:val="index 8"/>
    <w:basedOn w:val="Normal"/>
    <w:next w:val="Normal"/>
    <w:autoRedefine/>
    <w:uiPriority w:val="99"/>
    <w:semiHidden/>
    <w:rsid w:val="00171962"/>
    <w:pPr>
      <w:ind w:left="1920" w:hanging="240"/>
    </w:pPr>
  </w:style>
  <w:style w:type="paragraph" w:styleId="Index9">
    <w:name w:val="index 9"/>
    <w:basedOn w:val="Normal"/>
    <w:next w:val="Normal"/>
    <w:autoRedefine/>
    <w:uiPriority w:val="99"/>
    <w:semiHidden/>
    <w:rsid w:val="00171962"/>
    <w:pPr>
      <w:ind w:left="2160" w:hanging="240"/>
    </w:pPr>
  </w:style>
  <w:style w:type="paragraph" w:styleId="IndexHeading">
    <w:name w:val="index heading"/>
    <w:basedOn w:val="Normal"/>
    <w:next w:val="Index1"/>
    <w:uiPriority w:val="99"/>
    <w:semiHidden/>
    <w:rsid w:val="00171962"/>
    <w:rPr>
      <w:rFonts w:eastAsia="MS Gothic"/>
      <w:b/>
      <w:bCs/>
    </w:rPr>
  </w:style>
  <w:style w:type="table" w:styleId="LightGrid">
    <w:name w:val="Light Grid"/>
    <w:basedOn w:val="TableNormal"/>
    <w:uiPriority w:val="99"/>
    <w:semiHidden/>
    <w:rsid w:val="0017196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99"/>
    <w:semiHidden/>
    <w:rsid w:val="00171962"/>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CellMar>
        <w:top w:w="0" w:type="dxa"/>
        <w:left w:w="108" w:type="dxa"/>
        <w:bottom w:w="0" w:type="dxa"/>
        <w:right w:w="108" w:type="dxa"/>
      </w:tblCellMar>
    </w:tblPr>
    <w:tblStylePr w:type="firstRow">
      <w:pPr>
        <w:spacing w:before="0" w:after="0" w:line="240" w:lineRule="auto"/>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99"/>
    <w:semiHidden/>
    <w:rsid w:val="00171962"/>
    <w:tblPr>
      <w:tblStyleRowBandSize w:val="1"/>
      <w:tblStyleColBandSize w:val="1"/>
      <w:tblInd w:w="0"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0" w:type="dxa"/>
        <w:left w:w="108" w:type="dxa"/>
        <w:bottom w:w="0" w:type="dxa"/>
        <w:right w:w="108" w:type="dxa"/>
      </w:tblCellMar>
    </w:tblPr>
    <w:tblStylePr w:type="firstRow">
      <w:pPr>
        <w:spacing w:before="0" w:after="0" w:line="240" w:lineRule="auto"/>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99"/>
    <w:semiHidden/>
    <w:rsid w:val="00171962"/>
    <w:tblPr>
      <w:tblStyleRowBandSize w:val="1"/>
      <w:tblStyleColBandSize w:val="1"/>
      <w:tblInd w:w="0" w:type="dxa"/>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CellMar>
        <w:top w:w="0" w:type="dxa"/>
        <w:left w:w="108" w:type="dxa"/>
        <w:bottom w:w="0" w:type="dxa"/>
        <w:right w:w="108" w:type="dxa"/>
      </w:tblCellMar>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99"/>
    <w:semiHidden/>
    <w:rsid w:val="00171962"/>
    <w:tblPr>
      <w:tblStyleRowBandSize w:val="1"/>
      <w:tblStyleColBandSize w:val="1"/>
      <w:tblInd w:w="0" w:type="dxa"/>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CellMar>
        <w:top w:w="0" w:type="dxa"/>
        <w:left w:w="108" w:type="dxa"/>
        <w:bottom w:w="0" w:type="dxa"/>
        <w:right w:w="108" w:type="dxa"/>
      </w:tblCellMar>
    </w:tblPr>
    <w:tblStylePr w:type="firstRow">
      <w:pPr>
        <w:spacing w:before="0" w:after="0" w:line="240" w:lineRule="auto"/>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99"/>
    <w:semiHidden/>
    <w:rsid w:val="00171962"/>
    <w:tblPr>
      <w:tblStyleRowBandSize w:val="1"/>
      <w:tblStyleColBandSize w:val="1"/>
      <w:tblInd w:w="0" w:type="dxa"/>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CellMar>
        <w:top w:w="0" w:type="dxa"/>
        <w:left w:w="108" w:type="dxa"/>
        <w:bottom w:w="0" w:type="dxa"/>
        <w:right w:w="108" w:type="dxa"/>
      </w:tblCellMar>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99"/>
    <w:semiHidden/>
    <w:rsid w:val="00171962"/>
    <w:tblPr>
      <w:tblStyleRowBandSize w:val="1"/>
      <w:tblStyleColBandSize w:val="1"/>
      <w:tblInd w:w="0" w:type="dxa"/>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CellMar>
        <w:top w:w="0" w:type="dxa"/>
        <w:left w:w="108" w:type="dxa"/>
        <w:bottom w:w="0" w:type="dxa"/>
        <w:right w:w="108" w:type="dxa"/>
      </w:tblCellMar>
    </w:tblPr>
    <w:tblStylePr w:type="firstRow">
      <w:pPr>
        <w:spacing w:before="0" w:after="0" w:line="240" w:lineRule="auto"/>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99"/>
    <w:semiHidden/>
    <w:rsid w:val="00171962"/>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semiHidden/>
    <w:rsid w:val="00171962"/>
    <w:tblPr>
      <w:tblStyleRowBandSize w:val="1"/>
      <w:tblStyleColBandSize w:val="1"/>
      <w:tblInd w:w="0" w:type="dxa"/>
      <w:tblBorders>
        <w:top w:val="single" w:sz="8" w:space="0" w:color="0072BC"/>
        <w:left w:val="single" w:sz="8" w:space="0" w:color="0072BC"/>
        <w:bottom w:val="single" w:sz="8" w:space="0" w:color="0072BC"/>
        <w:right w:val="single" w:sz="8" w:space="0" w:color="0072BC"/>
      </w:tblBorders>
      <w:tblCellMar>
        <w:top w:w="0" w:type="dxa"/>
        <w:left w:w="108" w:type="dxa"/>
        <w:bottom w:w="0" w:type="dxa"/>
        <w:right w:w="108" w:type="dxa"/>
      </w:tblCellMar>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99"/>
    <w:semiHidden/>
    <w:rsid w:val="00171962"/>
    <w:tblPr>
      <w:tblStyleRowBandSize w:val="1"/>
      <w:tblStyleColBandSize w:val="1"/>
      <w:tblInd w:w="0" w:type="dxa"/>
      <w:tblBorders>
        <w:top w:val="single" w:sz="8" w:space="0" w:color="C00000"/>
        <w:left w:val="single" w:sz="8" w:space="0" w:color="C00000"/>
        <w:bottom w:val="single" w:sz="8" w:space="0" w:color="C00000"/>
        <w:right w:val="single" w:sz="8" w:space="0" w:color="C00000"/>
      </w:tblBorders>
      <w:tblCellMar>
        <w:top w:w="0" w:type="dxa"/>
        <w:left w:w="108" w:type="dxa"/>
        <w:bottom w:w="0" w:type="dxa"/>
        <w:right w:w="108" w:type="dxa"/>
      </w:tblCellMar>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99"/>
    <w:semiHidden/>
    <w:rsid w:val="00171962"/>
    <w:tblPr>
      <w:tblStyleRowBandSize w:val="1"/>
      <w:tblStyleColBandSize w:val="1"/>
      <w:tblInd w:w="0" w:type="dxa"/>
      <w:tblBorders>
        <w:top w:val="single" w:sz="8" w:space="0" w:color="5F5F5F"/>
        <w:left w:val="single" w:sz="8" w:space="0" w:color="5F5F5F"/>
        <w:bottom w:val="single" w:sz="8" w:space="0" w:color="5F5F5F"/>
        <w:right w:val="single" w:sz="8" w:space="0" w:color="5F5F5F"/>
      </w:tblBorders>
      <w:tblCellMar>
        <w:top w:w="0" w:type="dxa"/>
        <w:left w:w="108" w:type="dxa"/>
        <w:bottom w:w="0" w:type="dxa"/>
        <w:right w:w="108" w:type="dxa"/>
      </w:tblCellMar>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99"/>
    <w:semiHidden/>
    <w:rsid w:val="00171962"/>
    <w:tblPr>
      <w:tblStyleRowBandSize w:val="1"/>
      <w:tblStyleColBandSize w:val="1"/>
      <w:tblInd w:w="0" w:type="dxa"/>
      <w:tblBorders>
        <w:top w:val="single" w:sz="8" w:space="0" w:color="969696"/>
        <w:left w:val="single" w:sz="8" w:space="0" w:color="969696"/>
        <w:bottom w:val="single" w:sz="8" w:space="0" w:color="969696"/>
        <w:right w:val="single" w:sz="8" w:space="0" w:color="969696"/>
      </w:tblBorders>
      <w:tblCellMar>
        <w:top w:w="0" w:type="dxa"/>
        <w:left w:w="108" w:type="dxa"/>
        <w:bottom w:w="0" w:type="dxa"/>
        <w:right w:w="108" w:type="dxa"/>
      </w:tblCellMar>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99"/>
    <w:semiHidden/>
    <w:rsid w:val="00171962"/>
    <w:tblPr>
      <w:tblStyleRowBandSize w:val="1"/>
      <w:tblStyleColBandSize w:val="1"/>
      <w:tblInd w:w="0" w:type="dxa"/>
      <w:tblBorders>
        <w:top w:val="single" w:sz="8" w:space="0" w:color="5F5F5F"/>
        <w:left w:val="single" w:sz="8" w:space="0" w:color="5F5F5F"/>
        <w:bottom w:val="single" w:sz="8" w:space="0" w:color="5F5F5F"/>
        <w:right w:val="single" w:sz="8" w:space="0" w:color="5F5F5F"/>
      </w:tblBorders>
      <w:tblCellMar>
        <w:top w:w="0" w:type="dxa"/>
        <w:left w:w="108" w:type="dxa"/>
        <w:bottom w:w="0" w:type="dxa"/>
        <w:right w:w="108" w:type="dxa"/>
      </w:tblCellMar>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99"/>
    <w:semiHidden/>
    <w:rsid w:val="00171962"/>
    <w:tblPr>
      <w:tblStyleRowBandSize w:val="1"/>
      <w:tblStyleColBandSize w:val="1"/>
      <w:tblInd w:w="0" w:type="dxa"/>
      <w:tblBorders>
        <w:top w:val="single" w:sz="8" w:space="0" w:color="4D4D4D"/>
        <w:left w:val="single" w:sz="8" w:space="0" w:color="4D4D4D"/>
        <w:bottom w:val="single" w:sz="8" w:space="0" w:color="4D4D4D"/>
        <w:right w:val="single" w:sz="8" w:space="0" w:color="4D4D4D"/>
      </w:tblBorders>
      <w:tblCellMar>
        <w:top w:w="0" w:type="dxa"/>
        <w:left w:w="108" w:type="dxa"/>
        <w:bottom w:w="0" w:type="dxa"/>
        <w:right w:w="108" w:type="dxa"/>
      </w:tblCellMar>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99"/>
    <w:semiHidden/>
    <w:rsid w:val="0017196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99"/>
    <w:semiHidden/>
    <w:rsid w:val="00171962"/>
    <w:rPr>
      <w:color w:val="00548C"/>
    </w:rPr>
    <w:tblPr>
      <w:tblStyleRowBandSize w:val="1"/>
      <w:tblStyleColBandSize w:val="1"/>
      <w:tblInd w:w="0" w:type="dxa"/>
      <w:tblBorders>
        <w:top w:val="single" w:sz="8" w:space="0" w:color="0072BC"/>
        <w:bottom w:val="single" w:sz="8" w:space="0" w:color="0072BC"/>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99"/>
    <w:semiHidden/>
    <w:rsid w:val="00171962"/>
    <w:rPr>
      <w:color w:val="8F0000"/>
    </w:rPr>
    <w:tblPr>
      <w:tblStyleRowBandSize w:val="1"/>
      <w:tblStyleColBandSize w:val="1"/>
      <w:tblInd w:w="0" w:type="dxa"/>
      <w:tblBorders>
        <w:top w:val="single" w:sz="8" w:space="0" w:color="C00000"/>
        <w:bottom w:val="single" w:sz="8" w:space="0" w:color="C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99"/>
    <w:semiHidden/>
    <w:rsid w:val="00171962"/>
    <w:rPr>
      <w:color w:val="474747"/>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99"/>
    <w:semiHidden/>
    <w:rsid w:val="00171962"/>
    <w:rPr>
      <w:color w:val="707070"/>
    </w:rPr>
    <w:tblPr>
      <w:tblStyleRowBandSize w:val="1"/>
      <w:tblStyleColBandSize w:val="1"/>
      <w:tblInd w:w="0" w:type="dxa"/>
      <w:tblBorders>
        <w:top w:val="single" w:sz="8" w:space="0" w:color="969696"/>
        <w:bottom w:val="single" w:sz="8" w:space="0" w:color="96969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99"/>
    <w:semiHidden/>
    <w:rsid w:val="00171962"/>
    <w:rPr>
      <w:color w:val="474747"/>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99"/>
    <w:semiHidden/>
    <w:rsid w:val="00171962"/>
    <w:rPr>
      <w:color w:val="393939"/>
    </w:rPr>
    <w:tblPr>
      <w:tblStyleRowBandSize w:val="1"/>
      <w:tblStyleColBandSize w:val="1"/>
      <w:tblInd w:w="0" w:type="dxa"/>
      <w:tblBorders>
        <w:top w:val="single" w:sz="8" w:space="0" w:color="4D4D4D"/>
        <w:bottom w:val="single" w:sz="8" w:space="0" w:color="4D4D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basedOn w:val="DefaultParagraphFont"/>
    <w:uiPriority w:val="99"/>
    <w:semiHidden/>
    <w:rsid w:val="00171962"/>
  </w:style>
  <w:style w:type="paragraph" w:styleId="List">
    <w:name w:val="List"/>
    <w:basedOn w:val="Normal"/>
    <w:uiPriority w:val="99"/>
    <w:semiHidden/>
    <w:rsid w:val="00171962"/>
    <w:pPr>
      <w:ind w:left="283" w:hanging="283"/>
      <w:contextualSpacing/>
    </w:pPr>
  </w:style>
  <w:style w:type="paragraph" w:styleId="List2">
    <w:name w:val="List 2"/>
    <w:basedOn w:val="Normal"/>
    <w:uiPriority w:val="99"/>
    <w:semiHidden/>
    <w:rsid w:val="00171962"/>
    <w:pPr>
      <w:ind w:left="566" w:hanging="283"/>
      <w:contextualSpacing/>
    </w:pPr>
  </w:style>
  <w:style w:type="paragraph" w:styleId="List3">
    <w:name w:val="List 3"/>
    <w:basedOn w:val="Normal"/>
    <w:uiPriority w:val="99"/>
    <w:semiHidden/>
    <w:rsid w:val="00171962"/>
    <w:pPr>
      <w:ind w:left="849" w:hanging="283"/>
      <w:contextualSpacing/>
    </w:pPr>
  </w:style>
  <w:style w:type="paragraph" w:styleId="List4">
    <w:name w:val="List 4"/>
    <w:basedOn w:val="Normal"/>
    <w:uiPriority w:val="99"/>
    <w:semiHidden/>
    <w:rsid w:val="00171962"/>
    <w:pPr>
      <w:ind w:left="1132" w:hanging="283"/>
      <w:contextualSpacing/>
    </w:pPr>
  </w:style>
  <w:style w:type="paragraph" w:styleId="List5">
    <w:name w:val="List 5"/>
    <w:basedOn w:val="Normal"/>
    <w:uiPriority w:val="99"/>
    <w:semiHidden/>
    <w:rsid w:val="00171962"/>
    <w:pPr>
      <w:ind w:left="1415" w:hanging="283"/>
      <w:contextualSpacing/>
    </w:pPr>
  </w:style>
  <w:style w:type="paragraph" w:styleId="ListBullet2">
    <w:name w:val="List Bullet 2"/>
    <w:basedOn w:val="Normal"/>
    <w:uiPriority w:val="99"/>
    <w:semiHidden/>
    <w:rsid w:val="00171962"/>
    <w:pPr>
      <w:numPr>
        <w:numId w:val="5"/>
      </w:numPr>
      <w:contextualSpacing/>
    </w:pPr>
  </w:style>
  <w:style w:type="paragraph" w:styleId="ListBullet3">
    <w:name w:val="List Bullet 3"/>
    <w:basedOn w:val="Normal"/>
    <w:uiPriority w:val="99"/>
    <w:semiHidden/>
    <w:rsid w:val="00171962"/>
    <w:pPr>
      <w:numPr>
        <w:numId w:val="6"/>
      </w:numPr>
      <w:contextualSpacing/>
    </w:pPr>
  </w:style>
  <w:style w:type="paragraph" w:styleId="ListBullet4">
    <w:name w:val="List Bullet 4"/>
    <w:basedOn w:val="Normal"/>
    <w:uiPriority w:val="99"/>
    <w:semiHidden/>
    <w:rsid w:val="00171962"/>
    <w:pPr>
      <w:numPr>
        <w:numId w:val="7"/>
      </w:numPr>
      <w:contextualSpacing/>
    </w:pPr>
  </w:style>
  <w:style w:type="paragraph" w:styleId="ListBullet5">
    <w:name w:val="List Bullet 5"/>
    <w:basedOn w:val="Normal"/>
    <w:uiPriority w:val="99"/>
    <w:semiHidden/>
    <w:rsid w:val="00171962"/>
    <w:pPr>
      <w:numPr>
        <w:numId w:val="8"/>
      </w:numPr>
      <w:contextualSpacing/>
    </w:pPr>
  </w:style>
  <w:style w:type="paragraph" w:styleId="ListContinue">
    <w:name w:val="List Continue"/>
    <w:basedOn w:val="Normal"/>
    <w:uiPriority w:val="99"/>
    <w:semiHidden/>
    <w:rsid w:val="00171962"/>
    <w:pPr>
      <w:spacing w:after="120"/>
      <w:ind w:left="283"/>
      <w:contextualSpacing/>
    </w:pPr>
  </w:style>
  <w:style w:type="paragraph" w:styleId="ListContinue2">
    <w:name w:val="List Continue 2"/>
    <w:basedOn w:val="Normal"/>
    <w:uiPriority w:val="99"/>
    <w:semiHidden/>
    <w:rsid w:val="00171962"/>
    <w:pPr>
      <w:spacing w:after="120"/>
      <w:ind w:left="566"/>
      <w:contextualSpacing/>
    </w:pPr>
  </w:style>
  <w:style w:type="paragraph" w:styleId="ListContinue3">
    <w:name w:val="List Continue 3"/>
    <w:basedOn w:val="Normal"/>
    <w:uiPriority w:val="99"/>
    <w:semiHidden/>
    <w:rsid w:val="00171962"/>
    <w:pPr>
      <w:spacing w:after="120"/>
      <w:ind w:left="849"/>
      <w:contextualSpacing/>
    </w:pPr>
  </w:style>
  <w:style w:type="paragraph" w:styleId="ListContinue4">
    <w:name w:val="List Continue 4"/>
    <w:basedOn w:val="Normal"/>
    <w:uiPriority w:val="99"/>
    <w:semiHidden/>
    <w:rsid w:val="00171962"/>
    <w:pPr>
      <w:spacing w:after="120"/>
      <w:ind w:left="1132"/>
      <w:contextualSpacing/>
    </w:pPr>
  </w:style>
  <w:style w:type="paragraph" w:styleId="ListContinue5">
    <w:name w:val="List Continue 5"/>
    <w:basedOn w:val="Normal"/>
    <w:uiPriority w:val="99"/>
    <w:semiHidden/>
    <w:rsid w:val="00171962"/>
    <w:pPr>
      <w:spacing w:after="120"/>
      <w:ind w:left="1415"/>
      <w:contextualSpacing/>
    </w:pPr>
  </w:style>
  <w:style w:type="paragraph" w:styleId="ListNumber">
    <w:name w:val="List Number"/>
    <w:basedOn w:val="Normal"/>
    <w:uiPriority w:val="99"/>
    <w:semiHidden/>
    <w:rsid w:val="00171962"/>
    <w:pPr>
      <w:numPr>
        <w:numId w:val="9"/>
      </w:numPr>
      <w:contextualSpacing/>
    </w:pPr>
  </w:style>
  <w:style w:type="paragraph" w:styleId="ListNumber2">
    <w:name w:val="List Number 2"/>
    <w:basedOn w:val="Normal"/>
    <w:uiPriority w:val="99"/>
    <w:semiHidden/>
    <w:rsid w:val="00171962"/>
    <w:pPr>
      <w:numPr>
        <w:numId w:val="10"/>
      </w:numPr>
      <w:contextualSpacing/>
    </w:pPr>
  </w:style>
  <w:style w:type="paragraph" w:styleId="ListNumber3">
    <w:name w:val="List Number 3"/>
    <w:basedOn w:val="Normal"/>
    <w:uiPriority w:val="99"/>
    <w:semiHidden/>
    <w:rsid w:val="00171962"/>
    <w:pPr>
      <w:numPr>
        <w:numId w:val="11"/>
      </w:numPr>
      <w:contextualSpacing/>
    </w:pPr>
  </w:style>
  <w:style w:type="paragraph" w:styleId="ListNumber4">
    <w:name w:val="List Number 4"/>
    <w:basedOn w:val="Normal"/>
    <w:uiPriority w:val="99"/>
    <w:semiHidden/>
    <w:rsid w:val="00171962"/>
    <w:pPr>
      <w:numPr>
        <w:numId w:val="12"/>
      </w:numPr>
      <w:contextualSpacing/>
    </w:pPr>
  </w:style>
  <w:style w:type="paragraph" w:styleId="ListNumber5">
    <w:name w:val="List Number 5"/>
    <w:basedOn w:val="Normal"/>
    <w:uiPriority w:val="99"/>
    <w:semiHidden/>
    <w:rsid w:val="00171962"/>
    <w:pPr>
      <w:numPr>
        <w:numId w:val="13"/>
      </w:numPr>
      <w:contextualSpacing/>
    </w:pPr>
  </w:style>
  <w:style w:type="paragraph" w:styleId="MacroText">
    <w:name w:val="macro"/>
    <w:link w:val="MacroTextChar"/>
    <w:uiPriority w:val="99"/>
    <w:semiHidden/>
    <w:rsid w:val="00171962"/>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rPr>
  </w:style>
  <w:style w:type="character" w:customStyle="1" w:styleId="MacroTextChar">
    <w:name w:val="Macro Text Char"/>
    <w:link w:val="MacroText"/>
    <w:rsid w:val="00171962"/>
    <w:rPr>
      <w:rFonts w:ascii="Consolas" w:hAnsi="Consolas" w:cs="Consolas"/>
      <w:sz w:val="20"/>
      <w:szCs w:val="20"/>
      <w:lang w:val="bg-BG" w:eastAsia="bg-BG"/>
    </w:rPr>
  </w:style>
  <w:style w:type="table" w:styleId="MediumGrid1">
    <w:name w:val="Medium Grid 1"/>
    <w:basedOn w:val="TableNormal"/>
    <w:uiPriority w:val="99"/>
    <w:semiHidden/>
    <w:rsid w:val="0017196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99"/>
    <w:semiHidden/>
    <w:rsid w:val="00171962"/>
    <w:tblPr>
      <w:tblStyleRowBandSize w:val="1"/>
      <w:tblStyleColBandSize w:val="1"/>
      <w:tblInd w:w="0" w:type="dxa"/>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CellMar>
        <w:top w:w="0" w:type="dxa"/>
        <w:left w:w="108" w:type="dxa"/>
        <w:bottom w:w="0" w:type="dxa"/>
        <w:right w:w="108" w:type="dxa"/>
      </w:tblCellMar>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styleId="MediumGrid1-Accent2">
    <w:name w:val="Medium Grid 1 Accent 2"/>
    <w:basedOn w:val="TableNormal"/>
    <w:uiPriority w:val="99"/>
    <w:semiHidden/>
    <w:rsid w:val="00171962"/>
    <w:tblPr>
      <w:tblStyleRowBandSize w:val="1"/>
      <w:tblStyleColBandSize w:val="1"/>
      <w:tblInd w:w="0" w:type="dxa"/>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CellMar>
        <w:top w:w="0" w:type="dxa"/>
        <w:left w:w="108" w:type="dxa"/>
        <w:bottom w:w="0" w:type="dxa"/>
        <w:right w:w="108" w:type="dxa"/>
      </w:tblCellMar>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styleId="MediumGrid1-Accent3">
    <w:name w:val="Medium Grid 1 Accent 3"/>
    <w:basedOn w:val="TableNormal"/>
    <w:uiPriority w:val="99"/>
    <w:semiHidden/>
    <w:rsid w:val="00171962"/>
    <w:tblPr>
      <w:tblStyleRowBandSize w:val="1"/>
      <w:tblStyleColBandSize w:val="1"/>
      <w:tblInd w:w="0" w:type="dxa"/>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CellMar>
        <w:top w:w="0" w:type="dxa"/>
        <w:left w:w="108" w:type="dxa"/>
        <w:bottom w:w="0" w:type="dxa"/>
        <w:right w:w="108" w:type="dxa"/>
      </w:tblCellMar>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4">
    <w:name w:val="Medium Grid 1 Accent 4"/>
    <w:basedOn w:val="TableNormal"/>
    <w:uiPriority w:val="99"/>
    <w:semiHidden/>
    <w:rsid w:val="00171962"/>
    <w:tblPr>
      <w:tblStyleRowBandSize w:val="1"/>
      <w:tblStyleColBandSize w:val="1"/>
      <w:tblInd w:w="0" w:type="dxa"/>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CellMar>
        <w:top w:w="0" w:type="dxa"/>
        <w:left w:w="108" w:type="dxa"/>
        <w:bottom w:w="0" w:type="dxa"/>
        <w:right w:w="108" w:type="dxa"/>
      </w:tblCellMar>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5">
    <w:name w:val="Medium Grid 1 Accent 5"/>
    <w:basedOn w:val="TableNormal"/>
    <w:uiPriority w:val="99"/>
    <w:semiHidden/>
    <w:rsid w:val="00171962"/>
    <w:tblPr>
      <w:tblStyleRowBandSize w:val="1"/>
      <w:tblStyleColBandSize w:val="1"/>
      <w:tblInd w:w="0" w:type="dxa"/>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CellMar>
        <w:top w:w="0" w:type="dxa"/>
        <w:left w:w="108" w:type="dxa"/>
        <w:bottom w:w="0" w:type="dxa"/>
        <w:right w:w="108" w:type="dxa"/>
      </w:tblCellMar>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99"/>
    <w:semiHidden/>
    <w:rsid w:val="00171962"/>
    <w:tblPr>
      <w:tblStyleRowBandSize w:val="1"/>
      <w:tblStyleColBandSize w:val="1"/>
      <w:tblInd w:w="0" w:type="dxa"/>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CellMar>
        <w:top w:w="0" w:type="dxa"/>
        <w:left w:w="108" w:type="dxa"/>
        <w:bottom w:w="0" w:type="dxa"/>
        <w:right w:w="108" w:type="dxa"/>
      </w:tblCellMar>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styleId="MediumGrid2">
    <w:name w:val="Medium Grid 2"/>
    <w:basedOn w:val="TableNormal"/>
    <w:uiPriority w:val="99"/>
    <w:semiHidden/>
    <w:rsid w:val="00171962"/>
    <w:rPr>
      <w:rFonts w:eastAsia="MS Gothic"/>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styleId="MediumGrid2-Accent1">
    <w:name w:val="Medium Grid 2 Accent 1"/>
    <w:basedOn w:val="TableNormal"/>
    <w:uiPriority w:val="99"/>
    <w:semiHidden/>
    <w:rsid w:val="00171962"/>
    <w:rPr>
      <w:rFonts w:eastAsia="MS Gothic"/>
      <w:color w:val="000000"/>
    </w:rPr>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CellMar>
        <w:top w:w="0" w:type="dxa"/>
        <w:left w:w="108" w:type="dxa"/>
        <w:bottom w:w="0" w:type="dxa"/>
        <w:right w:w="108" w:type="dxa"/>
      </w:tblCellMar>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styleId="MediumGrid2-Accent2">
    <w:name w:val="Medium Grid 2 Accent 2"/>
    <w:basedOn w:val="TableNormal"/>
    <w:uiPriority w:val="99"/>
    <w:semiHidden/>
    <w:rsid w:val="00171962"/>
    <w:rPr>
      <w:rFonts w:eastAsia="MS Gothic"/>
      <w:color w:val="000000"/>
    </w:rPr>
    <w:tblPr>
      <w:tblStyleRowBandSize w:val="1"/>
      <w:tblStyleColBandSize w:val="1"/>
      <w:tblInd w:w="0"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0" w:type="dxa"/>
        <w:left w:w="108" w:type="dxa"/>
        <w:bottom w:w="0" w:type="dxa"/>
        <w:right w:w="108" w:type="dxa"/>
      </w:tblCellMar>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styleId="MediumGrid2-Accent3">
    <w:name w:val="Medium Grid 2 Accent 3"/>
    <w:basedOn w:val="TableNormal"/>
    <w:uiPriority w:val="99"/>
    <w:semiHidden/>
    <w:rsid w:val="00171962"/>
    <w:rPr>
      <w:rFonts w:eastAsia="MS Gothic"/>
      <w:color w:val="000000"/>
    </w:rPr>
    <w:tblPr>
      <w:tblStyleRowBandSize w:val="1"/>
      <w:tblStyleColBandSize w:val="1"/>
      <w:tblInd w:w="0" w:type="dxa"/>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CellMar>
        <w:top w:w="0" w:type="dxa"/>
        <w:left w:w="108" w:type="dxa"/>
        <w:bottom w:w="0" w:type="dxa"/>
        <w:right w:w="108" w:type="dxa"/>
      </w:tblCellMar>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4">
    <w:name w:val="Medium Grid 2 Accent 4"/>
    <w:basedOn w:val="TableNormal"/>
    <w:uiPriority w:val="99"/>
    <w:semiHidden/>
    <w:rsid w:val="00171962"/>
    <w:rPr>
      <w:rFonts w:eastAsia="MS Gothic"/>
      <w:color w:val="000000"/>
    </w:rPr>
    <w:tblPr>
      <w:tblStyleRowBandSize w:val="1"/>
      <w:tblStyleColBandSize w:val="1"/>
      <w:tblInd w:w="0" w:type="dxa"/>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CellMar>
        <w:top w:w="0" w:type="dxa"/>
        <w:left w:w="108" w:type="dxa"/>
        <w:bottom w:w="0" w:type="dxa"/>
        <w:right w:w="108" w:type="dxa"/>
      </w:tblCellMar>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styleId="MediumGrid2-Accent5">
    <w:name w:val="Medium Grid 2 Accent 5"/>
    <w:basedOn w:val="TableNormal"/>
    <w:uiPriority w:val="99"/>
    <w:semiHidden/>
    <w:rsid w:val="00171962"/>
    <w:rPr>
      <w:rFonts w:eastAsia="MS Gothic"/>
      <w:color w:val="000000"/>
    </w:rPr>
    <w:tblPr>
      <w:tblStyleRowBandSize w:val="1"/>
      <w:tblStyleColBandSize w:val="1"/>
      <w:tblInd w:w="0" w:type="dxa"/>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CellMar>
        <w:top w:w="0" w:type="dxa"/>
        <w:left w:w="108" w:type="dxa"/>
        <w:bottom w:w="0" w:type="dxa"/>
        <w:right w:w="108" w:type="dxa"/>
      </w:tblCellMar>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6">
    <w:name w:val="Medium Grid 2 Accent 6"/>
    <w:basedOn w:val="TableNormal"/>
    <w:uiPriority w:val="99"/>
    <w:semiHidden/>
    <w:rsid w:val="00171962"/>
    <w:rPr>
      <w:rFonts w:eastAsia="MS Gothic"/>
      <w:color w:val="000000"/>
    </w:rPr>
    <w:tblPr>
      <w:tblStyleRowBandSize w:val="1"/>
      <w:tblStyleColBandSize w:val="1"/>
      <w:tblInd w:w="0" w:type="dxa"/>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CellMar>
        <w:top w:w="0" w:type="dxa"/>
        <w:left w:w="108" w:type="dxa"/>
        <w:bottom w:w="0" w:type="dxa"/>
        <w:right w:w="108" w:type="dxa"/>
      </w:tblCellMar>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styleId="MediumGrid3">
    <w:name w:val="Medium Grid 3"/>
    <w:basedOn w:val="TableNormal"/>
    <w:uiPriority w:val="99"/>
    <w:semiHidden/>
    <w:rsid w:val="00171962"/>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CellMar>
        <w:top w:w="0" w:type="dxa"/>
        <w:left w:w="108" w:type="dxa"/>
        <w:bottom w:w="0" w:type="dxa"/>
        <w:right w:w="108" w:type="dxa"/>
      </w:tblCellMar>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99"/>
    <w:semiHidden/>
    <w:rsid w:val="00171962"/>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CellMar>
        <w:top w:w="0" w:type="dxa"/>
        <w:left w:w="108" w:type="dxa"/>
        <w:bottom w:w="0" w:type="dxa"/>
        <w:right w:w="108" w:type="dxa"/>
      </w:tblCellMar>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99"/>
    <w:semiHidden/>
    <w:rsid w:val="00171962"/>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CellMar>
        <w:top w:w="0" w:type="dxa"/>
        <w:left w:w="108" w:type="dxa"/>
        <w:bottom w:w="0" w:type="dxa"/>
        <w:right w:w="108" w:type="dxa"/>
      </w:tblCellMar>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99"/>
    <w:semiHidden/>
    <w:rsid w:val="00171962"/>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CellMar>
        <w:top w:w="0" w:type="dxa"/>
        <w:left w:w="108" w:type="dxa"/>
        <w:bottom w:w="0" w:type="dxa"/>
        <w:right w:w="108" w:type="dxa"/>
      </w:tblCellMar>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99"/>
    <w:semiHidden/>
    <w:rsid w:val="00171962"/>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CellMar>
        <w:top w:w="0" w:type="dxa"/>
        <w:left w:w="108" w:type="dxa"/>
        <w:bottom w:w="0" w:type="dxa"/>
        <w:right w:w="108" w:type="dxa"/>
      </w:tblCellMar>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99"/>
    <w:semiHidden/>
    <w:rsid w:val="00171962"/>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CellMar>
        <w:top w:w="0" w:type="dxa"/>
        <w:left w:w="108" w:type="dxa"/>
        <w:bottom w:w="0" w:type="dxa"/>
        <w:right w:w="108" w:type="dxa"/>
      </w:tblCellMar>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99"/>
    <w:semiHidden/>
    <w:rsid w:val="00171962"/>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CellMar>
        <w:top w:w="0" w:type="dxa"/>
        <w:left w:w="108" w:type="dxa"/>
        <w:bottom w:w="0" w:type="dxa"/>
        <w:right w:w="108" w:type="dxa"/>
      </w:tblCellMar>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MediumList1">
    <w:name w:val="Medium List 1"/>
    <w:basedOn w:val="TableNormal"/>
    <w:uiPriority w:val="99"/>
    <w:semiHidden/>
    <w:rsid w:val="0017196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eastAsia="MS Gothic"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99"/>
    <w:semiHidden/>
    <w:rsid w:val="00171962"/>
    <w:rPr>
      <w:color w:val="000000"/>
    </w:rPr>
    <w:tblPr>
      <w:tblStyleRowBandSize w:val="1"/>
      <w:tblStyleColBandSize w:val="1"/>
      <w:tblInd w:w="0" w:type="dxa"/>
      <w:tblBorders>
        <w:top w:val="single" w:sz="8" w:space="0" w:color="0072BC"/>
        <w:bottom w:val="single" w:sz="8" w:space="0" w:color="0072BC"/>
      </w:tblBorders>
      <w:tblCellMar>
        <w:top w:w="0" w:type="dxa"/>
        <w:left w:w="108" w:type="dxa"/>
        <w:bottom w:w="0" w:type="dxa"/>
        <w:right w:w="108" w:type="dxa"/>
      </w:tblCellMar>
    </w:tblPr>
    <w:tblStylePr w:type="firstRow">
      <w:rPr>
        <w:rFonts w:ascii="Times New Roman" w:eastAsia="MS Gothic"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styleId="MediumList1-Accent2">
    <w:name w:val="Medium List 1 Accent 2"/>
    <w:basedOn w:val="TableNormal"/>
    <w:uiPriority w:val="99"/>
    <w:semiHidden/>
    <w:rsid w:val="00171962"/>
    <w:rPr>
      <w:color w:val="000000"/>
    </w:rPr>
    <w:tblPr>
      <w:tblStyleRowBandSize w:val="1"/>
      <w:tblStyleColBandSize w:val="1"/>
      <w:tblInd w:w="0" w:type="dxa"/>
      <w:tblBorders>
        <w:top w:val="single" w:sz="8" w:space="0" w:color="C00000"/>
        <w:bottom w:val="single" w:sz="8" w:space="0" w:color="C00000"/>
      </w:tblBorders>
      <w:tblCellMar>
        <w:top w:w="0" w:type="dxa"/>
        <w:left w:w="108" w:type="dxa"/>
        <w:bottom w:w="0" w:type="dxa"/>
        <w:right w:w="108" w:type="dxa"/>
      </w:tblCellMar>
    </w:tblPr>
    <w:tblStylePr w:type="firstRow">
      <w:rPr>
        <w:rFonts w:ascii="Times New Roman" w:eastAsia="MS Gothic"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styleId="MediumList1-Accent3">
    <w:name w:val="Medium List 1 Accent 3"/>
    <w:basedOn w:val="TableNormal"/>
    <w:uiPriority w:val="99"/>
    <w:semiHidden/>
    <w:rsid w:val="00171962"/>
    <w:rPr>
      <w:color w:val="000000"/>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4">
    <w:name w:val="Medium List 1 Accent 4"/>
    <w:basedOn w:val="TableNormal"/>
    <w:uiPriority w:val="99"/>
    <w:semiHidden/>
    <w:rsid w:val="00171962"/>
    <w:rPr>
      <w:color w:val="000000"/>
    </w:rPr>
    <w:tblPr>
      <w:tblStyleRowBandSize w:val="1"/>
      <w:tblStyleColBandSize w:val="1"/>
      <w:tblInd w:w="0" w:type="dxa"/>
      <w:tblBorders>
        <w:top w:val="single" w:sz="8" w:space="0" w:color="969696"/>
        <w:bottom w:val="single" w:sz="8" w:space="0" w:color="969696"/>
      </w:tblBorders>
      <w:tblCellMar>
        <w:top w:w="0" w:type="dxa"/>
        <w:left w:w="108" w:type="dxa"/>
        <w:bottom w:w="0" w:type="dxa"/>
        <w:right w:w="108" w:type="dxa"/>
      </w:tblCellMar>
    </w:tblPr>
    <w:tblStylePr w:type="firstRow">
      <w:rPr>
        <w:rFonts w:ascii="Times New Roman" w:eastAsia="MS Gothic"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5">
    <w:name w:val="Medium List 1 Accent 5"/>
    <w:basedOn w:val="TableNormal"/>
    <w:uiPriority w:val="99"/>
    <w:semiHidden/>
    <w:rsid w:val="00171962"/>
    <w:rPr>
      <w:color w:val="000000"/>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99"/>
    <w:semiHidden/>
    <w:rsid w:val="00171962"/>
    <w:rPr>
      <w:color w:val="000000"/>
    </w:rPr>
    <w:tblPr>
      <w:tblStyleRowBandSize w:val="1"/>
      <w:tblStyleColBandSize w:val="1"/>
      <w:tblInd w:w="0" w:type="dxa"/>
      <w:tblBorders>
        <w:top w:val="single" w:sz="8" w:space="0" w:color="4D4D4D"/>
        <w:bottom w:val="single" w:sz="8" w:space="0" w:color="4D4D4D"/>
      </w:tblBorders>
      <w:tblCellMar>
        <w:top w:w="0" w:type="dxa"/>
        <w:left w:w="108" w:type="dxa"/>
        <w:bottom w:w="0" w:type="dxa"/>
        <w:right w:w="108" w:type="dxa"/>
      </w:tblCellMar>
    </w:tblPr>
    <w:tblStylePr w:type="firstRow">
      <w:rPr>
        <w:rFonts w:ascii="Times New Roman" w:eastAsia="MS Gothic"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styleId="MediumList2">
    <w:name w:val="Medium List 2"/>
    <w:basedOn w:val="TableNormal"/>
    <w:uiPriority w:val="99"/>
    <w:semiHidden/>
    <w:rsid w:val="00171962"/>
    <w:rPr>
      <w:rFonts w:eastAsia="MS Gothic"/>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styleId="MediumList2-Accent1">
    <w:name w:val="Medium List 2 Accent 1"/>
    <w:basedOn w:val="TableNormal"/>
    <w:uiPriority w:val="99"/>
    <w:semiHidden/>
    <w:rsid w:val="00171962"/>
    <w:rPr>
      <w:rFonts w:eastAsia="MS Gothic"/>
      <w:color w:val="000000"/>
    </w:rPr>
    <w:tblPr>
      <w:tblStyleRowBandSize w:val="1"/>
      <w:tblStyleColBandSize w:val="1"/>
      <w:tblInd w:w="0" w:type="dxa"/>
      <w:tblBorders>
        <w:top w:val="single" w:sz="8" w:space="0" w:color="0072BC"/>
        <w:left w:val="single" w:sz="8" w:space="0" w:color="0072BC"/>
        <w:bottom w:val="single" w:sz="8" w:space="0" w:color="0072BC"/>
        <w:right w:val="single" w:sz="8" w:space="0" w:color="0072BC"/>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styleId="MediumList2-Accent2">
    <w:name w:val="Medium List 2 Accent 2"/>
    <w:basedOn w:val="TableNormal"/>
    <w:uiPriority w:val="99"/>
    <w:semiHidden/>
    <w:rsid w:val="00171962"/>
    <w:rPr>
      <w:rFonts w:eastAsia="MS Gothic"/>
      <w:color w:val="000000"/>
    </w:rPr>
    <w:tblPr>
      <w:tblStyleRowBandSize w:val="1"/>
      <w:tblStyleColBandSize w:val="1"/>
      <w:tblInd w:w="0" w:type="dxa"/>
      <w:tblBorders>
        <w:top w:val="single" w:sz="8" w:space="0" w:color="C00000"/>
        <w:left w:val="single" w:sz="8" w:space="0" w:color="C00000"/>
        <w:bottom w:val="single" w:sz="8" w:space="0" w:color="C00000"/>
        <w:right w:val="single" w:sz="8" w:space="0" w:color="C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styleId="MediumList2-Accent3">
    <w:name w:val="Medium List 2 Accent 3"/>
    <w:basedOn w:val="TableNormal"/>
    <w:uiPriority w:val="99"/>
    <w:semiHidden/>
    <w:rsid w:val="00171962"/>
    <w:rPr>
      <w:rFonts w:eastAsia="MS Gothic"/>
      <w:color w:val="000000"/>
    </w:rPr>
    <w:tblPr>
      <w:tblStyleRowBandSize w:val="1"/>
      <w:tblStyleColBandSize w:val="1"/>
      <w:tblInd w:w="0" w:type="dxa"/>
      <w:tblBorders>
        <w:top w:val="single" w:sz="8" w:space="0" w:color="5F5F5F"/>
        <w:left w:val="single" w:sz="8" w:space="0" w:color="5F5F5F"/>
        <w:bottom w:val="single" w:sz="8" w:space="0" w:color="5F5F5F"/>
        <w:right w:val="single" w:sz="8" w:space="0" w:color="5F5F5F"/>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4">
    <w:name w:val="Medium List 2 Accent 4"/>
    <w:basedOn w:val="TableNormal"/>
    <w:uiPriority w:val="99"/>
    <w:semiHidden/>
    <w:rsid w:val="00171962"/>
    <w:rPr>
      <w:rFonts w:eastAsia="MS Gothic"/>
      <w:color w:val="000000"/>
    </w:rPr>
    <w:tblPr>
      <w:tblStyleRowBandSize w:val="1"/>
      <w:tblStyleColBandSize w:val="1"/>
      <w:tblInd w:w="0" w:type="dxa"/>
      <w:tblBorders>
        <w:top w:val="single" w:sz="8" w:space="0" w:color="969696"/>
        <w:left w:val="single" w:sz="8" w:space="0" w:color="969696"/>
        <w:bottom w:val="single" w:sz="8" w:space="0" w:color="969696"/>
        <w:right w:val="single" w:sz="8" w:space="0" w:color="969696"/>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styleId="MediumList2-Accent5">
    <w:name w:val="Medium List 2 Accent 5"/>
    <w:basedOn w:val="TableNormal"/>
    <w:uiPriority w:val="99"/>
    <w:semiHidden/>
    <w:rsid w:val="00171962"/>
    <w:rPr>
      <w:rFonts w:eastAsia="MS Gothic"/>
      <w:color w:val="000000"/>
    </w:rPr>
    <w:tblPr>
      <w:tblStyleRowBandSize w:val="1"/>
      <w:tblStyleColBandSize w:val="1"/>
      <w:tblInd w:w="0" w:type="dxa"/>
      <w:tblBorders>
        <w:top w:val="single" w:sz="8" w:space="0" w:color="5F5F5F"/>
        <w:left w:val="single" w:sz="8" w:space="0" w:color="5F5F5F"/>
        <w:bottom w:val="single" w:sz="8" w:space="0" w:color="5F5F5F"/>
        <w:right w:val="single" w:sz="8" w:space="0" w:color="5F5F5F"/>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6">
    <w:name w:val="Medium List 2 Accent 6"/>
    <w:basedOn w:val="TableNormal"/>
    <w:uiPriority w:val="99"/>
    <w:semiHidden/>
    <w:rsid w:val="00171962"/>
    <w:rPr>
      <w:rFonts w:eastAsia="MS Gothic"/>
      <w:color w:val="000000"/>
    </w:rPr>
    <w:tblPr>
      <w:tblStyleRowBandSize w:val="1"/>
      <w:tblStyleColBandSize w:val="1"/>
      <w:tblInd w:w="0" w:type="dxa"/>
      <w:tblBorders>
        <w:top w:val="single" w:sz="8" w:space="0" w:color="4D4D4D"/>
        <w:left w:val="single" w:sz="8" w:space="0" w:color="4D4D4D"/>
        <w:bottom w:val="single" w:sz="8" w:space="0" w:color="4D4D4D"/>
        <w:right w:val="single" w:sz="8" w:space="0" w:color="4D4D4D"/>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styleId="MediumShading1">
    <w:name w:val="Medium Shading 1"/>
    <w:basedOn w:val="TableNormal"/>
    <w:uiPriority w:val="99"/>
    <w:semiHidden/>
    <w:rsid w:val="0017196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171962"/>
    <w:tblPr>
      <w:tblStyleRowBandSize w:val="1"/>
      <w:tblStyleColBandSize w:val="1"/>
      <w:tblInd w:w="0" w:type="dxa"/>
      <w:tblBorders>
        <w:top w:val="single" w:sz="8" w:space="0" w:color="0D9FFF"/>
        <w:left w:val="single" w:sz="8" w:space="0" w:color="0D9FFF"/>
        <w:bottom w:val="single" w:sz="8" w:space="0" w:color="0D9FFF"/>
        <w:right w:val="single" w:sz="8" w:space="0" w:color="0D9FFF"/>
        <w:insideH w:val="single" w:sz="8" w:space="0" w:color="0D9FFF"/>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171962"/>
    <w:tblPr>
      <w:tblStyleRowBandSize w:val="1"/>
      <w:tblStyleColBandSize w:val="1"/>
      <w:tblInd w:w="0" w:type="dxa"/>
      <w:tblBorders>
        <w:top w:val="single" w:sz="8" w:space="0" w:color="FF1010"/>
        <w:left w:val="single" w:sz="8" w:space="0" w:color="FF1010"/>
        <w:bottom w:val="single" w:sz="8" w:space="0" w:color="FF1010"/>
        <w:right w:val="single" w:sz="8" w:space="0" w:color="FF1010"/>
        <w:insideH w:val="single" w:sz="8" w:space="0" w:color="FF1010"/>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171962"/>
    <w:tblPr>
      <w:tblStyleRowBandSize w:val="1"/>
      <w:tblStyleColBandSize w:val="1"/>
      <w:tblInd w:w="0" w:type="dxa"/>
      <w:tblBorders>
        <w:top w:val="single" w:sz="8" w:space="0" w:color="878787"/>
        <w:left w:val="single" w:sz="8" w:space="0" w:color="878787"/>
        <w:bottom w:val="single" w:sz="8" w:space="0" w:color="878787"/>
        <w:right w:val="single" w:sz="8" w:space="0" w:color="878787"/>
        <w:insideH w:val="single" w:sz="8" w:space="0" w:color="878787"/>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171962"/>
    <w:tblPr>
      <w:tblStyleRowBandSize w:val="1"/>
      <w:tblStyleColBandSize w:val="1"/>
      <w:tblInd w:w="0" w:type="dxa"/>
      <w:tblBorders>
        <w:top w:val="single" w:sz="8" w:space="0" w:color="B0B0B0"/>
        <w:left w:val="single" w:sz="8" w:space="0" w:color="B0B0B0"/>
        <w:bottom w:val="single" w:sz="8" w:space="0" w:color="B0B0B0"/>
        <w:right w:val="single" w:sz="8" w:space="0" w:color="B0B0B0"/>
        <w:insideH w:val="single" w:sz="8" w:space="0" w:color="B0B0B0"/>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171962"/>
    <w:tblPr>
      <w:tblStyleRowBandSize w:val="1"/>
      <w:tblStyleColBandSize w:val="1"/>
      <w:tblInd w:w="0" w:type="dxa"/>
      <w:tblBorders>
        <w:top w:val="single" w:sz="8" w:space="0" w:color="878787"/>
        <w:left w:val="single" w:sz="8" w:space="0" w:color="878787"/>
        <w:bottom w:val="single" w:sz="8" w:space="0" w:color="878787"/>
        <w:right w:val="single" w:sz="8" w:space="0" w:color="878787"/>
        <w:insideH w:val="single" w:sz="8" w:space="0" w:color="878787"/>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171962"/>
    <w:tblPr>
      <w:tblStyleRowBandSize w:val="1"/>
      <w:tblStyleColBandSize w:val="1"/>
      <w:tblInd w:w="0" w:type="dxa"/>
      <w:tblBorders>
        <w:top w:val="single" w:sz="8" w:space="0" w:color="797979"/>
        <w:left w:val="single" w:sz="8" w:space="0" w:color="797979"/>
        <w:bottom w:val="single" w:sz="8" w:space="0" w:color="797979"/>
        <w:right w:val="single" w:sz="8" w:space="0" w:color="797979"/>
        <w:insideH w:val="single" w:sz="8" w:space="0" w:color="797979"/>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styleId="MediumShading2">
    <w:name w:val="Medium Shading 2"/>
    <w:basedOn w:val="TableNormal"/>
    <w:uiPriority w:val="99"/>
    <w:semiHidden/>
    <w:rsid w:val="001719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1719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1719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1719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1719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1719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1719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171962"/>
    <w:pPr>
      <w:pBdr>
        <w:top w:val="single" w:sz="6" w:space="1" w:color="auto"/>
        <w:left w:val="single" w:sz="6" w:space="1" w:color="auto"/>
        <w:bottom w:val="single" w:sz="6" w:space="1" w:color="auto"/>
        <w:right w:val="single" w:sz="6" w:space="1" w:color="auto"/>
      </w:pBdr>
      <w:shd w:val="pct20" w:color="auto" w:fill="auto"/>
      <w:ind w:left="1134" w:hanging="1134"/>
    </w:pPr>
    <w:rPr>
      <w:rFonts w:eastAsia="MS Gothic"/>
      <w:szCs w:val="24"/>
    </w:rPr>
  </w:style>
  <w:style w:type="character" w:customStyle="1" w:styleId="MessageHeaderChar">
    <w:name w:val="Message Header Char"/>
    <w:link w:val="MessageHeader"/>
    <w:rsid w:val="00171962"/>
    <w:rPr>
      <w:rFonts w:ascii="Times New Roman" w:eastAsia="MS Gothic" w:hAnsi="Times New Roman" w:cs="Times New Roman"/>
      <w:sz w:val="24"/>
      <w:szCs w:val="24"/>
      <w:lang w:val="bg-BG" w:eastAsia="bg-BG"/>
    </w:rPr>
  </w:style>
  <w:style w:type="paragraph" w:styleId="NormalWeb">
    <w:name w:val="Normal (Web)"/>
    <w:basedOn w:val="Normal"/>
    <w:uiPriority w:val="99"/>
    <w:semiHidden/>
    <w:rsid w:val="00171962"/>
    <w:rPr>
      <w:szCs w:val="24"/>
    </w:rPr>
  </w:style>
  <w:style w:type="paragraph" w:styleId="NormalIndent">
    <w:name w:val="Normal Indent"/>
    <w:basedOn w:val="Normal"/>
    <w:uiPriority w:val="99"/>
    <w:semiHidden/>
    <w:rsid w:val="00171962"/>
    <w:pPr>
      <w:ind w:left="720"/>
    </w:pPr>
  </w:style>
  <w:style w:type="paragraph" w:styleId="NoteHeading">
    <w:name w:val="Note Heading"/>
    <w:basedOn w:val="Normal"/>
    <w:next w:val="Normal"/>
    <w:link w:val="NoteHeadingChar"/>
    <w:uiPriority w:val="99"/>
    <w:semiHidden/>
    <w:rsid w:val="00171962"/>
  </w:style>
  <w:style w:type="character" w:customStyle="1" w:styleId="NoteHeadingChar">
    <w:name w:val="Note Heading Char"/>
    <w:link w:val="NoteHeading"/>
    <w:rsid w:val="00171962"/>
    <w:rPr>
      <w:sz w:val="24"/>
      <w:lang w:val="bg-BG" w:eastAsia="bg-BG"/>
    </w:rPr>
  </w:style>
  <w:style w:type="character" w:styleId="PlaceholderText">
    <w:name w:val="Placeholder Text"/>
    <w:uiPriority w:val="99"/>
    <w:semiHidden/>
    <w:rsid w:val="00171962"/>
    <w:rPr>
      <w:color w:val="808080"/>
      <w:lang w:val="bg-BG" w:eastAsia="bg-BG"/>
    </w:rPr>
  </w:style>
  <w:style w:type="paragraph" w:styleId="PlainText">
    <w:name w:val="Plain Text"/>
    <w:basedOn w:val="Normal"/>
    <w:link w:val="PlainTextChar"/>
    <w:uiPriority w:val="99"/>
    <w:semiHidden/>
    <w:rsid w:val="00171962"/>
    <w:rPr>
      <w:rFonts w:ascii="Consolas" w:hAnsi="Consolas" w:cs="Consolas"/>
      <w:sz w:val="21"/>
      <w:szCs w:val="21"/>
    </w:rPr>
  </w:style>
  <w:style w:type="character" w:customStyle="1" w:styleId="PlainTextChar">
    <w:name w:val="Plain Text Char"/>
    <w:link w:val="PlainText"/>
    <w:rsid w:val="00171962"/>
    <w:rPr>
      <w:rFonts w:ascii="Consolas" w:hAnsi="Consolas" w:cs="Consolas"/>
      <w:sz w:val="21"/>
      <w:szCs w:val="21"/>
      <w:lang w:val="bg-BG" w:eastAsia="bg-BG"/>
    </w:rPr>
  </w:style>
  <w:style w:type="paragraph" w:styleId="Salutation">
    <w:name w:val="Salutation"/>
    <w:basedOn w:val="Normal"/>
    <w:next w:val="Normal"/>
    <w:link w:val="SalutationChar"/>
    <w:uiPriority w:val="99"/>
    <w:semiHidden/>
    <w:rsid w:val="00171962"/>
  </w:style>
  <w:style w:type="character" w:customStyle="1" w:styleId="SalutationChar">
    <w:name w:val="Salutation Char"/>
    <w:link w:val="Salutation"/>
    <w:rsid w:val="00171962"/>
    <w:rPr>
      <w:sz w:val="24"/>
      <w:lang w:val="bg-BG" w:eastAsia="bg-BG"/>
    </w:rPr>
  </w:style>
  <w:style w:type="paragraph" w:styleId="Signature">
    <w:name w:val="Signature"/>
    <w:basedOn w:val="Normal"/>
    <w:link w:val="SignatureChar"/>
    <w:uiPriority w:val="99"/>
    <w:semiHidden/>
    <w:rsid w:val="00171962"/>
    <w:pPr>
      <w:ind w:left="4252"/>
    </w:pPr>
  </w:style>
  <w:style w:type="character" w:customStyle="1" w:styleId="SignatureChar">
    <w:name w:val="Signature Char"/>
    <w:link w:val="Signature"/>
    <w:rsid w:val="00171962"/>
    <w:rPr>
      <w:sz w:val="24"/>
      <w:lang w:val="bg-BG" w:eastAsia="bg-BG"/>
    </w:rPr>
  </w:style>
  <w:style w:type="table" w:styleId="Table3Deffects1">
    <w:name w:val="Table 3D effects 1"/>
    <w:basedOn w:val="TableNormal"/>
    <w:uiPriority w:val="99"/>
    <w:semiHidden/>
    <w:rsid w:val="00171962"/>
    <w:pPr>
      <w:suppressAutoHyphens/>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171962"/>
    <w:pPr>
      <w:suppressAutoHyphens/>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171962"/>
    <w:pPr>
      <w:suppressAutoHyphens/>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171962"/>
    <w:pPr>
      <w:suppressAutoHyphens/>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171962"/>
    <w:pPr>
      <w:suppressAutoHyphens/>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171962"/>
    <w:pPr>
      <w:suppressAutoHyphens/>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171962"/>
    <w:pPr>
      <w:suppressAutoHyphens/>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171962"/>
    <w:pPr>
      <w:suppressAutoHyphens/>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171962"/>
    <w:pPr>
      <w:suppressAutoHyphens/>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171962"/>
    <w:pPr>
      <w:suppressAutoHyphens/>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171962"/>
    <w:pPr>
      <w:suppressAutoHyphens/>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171962"/>
    <w:pPr>
      <w:suppressAutoHyphens/>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171962"/>
    <w:pPr>
      <w:suppressAutoHyphens/>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171962"/>
    <w:pPr>
      <w:suppressAutoHyphens/>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171962"/>
    <w:pPr>
      <w:suppressAutoHyphens/>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171962"/>
    <w:pPr>
      <w:suppressAutoHyphens/>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171962"/>
    <w:pPr>
      <w:suppressAutoHyphens/>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semiHidden/>
    <w:rsid w:val="00CD4158"/>
    <w:rPr>
      <w:rFonts w:eastAsia="MS Minch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rsid w:val="00171962"/>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171962"/>
    <w:pPr>
      <w:suppressAutoHyphens/>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171962"/>
    <w:pPr>
      <w:suppressAutoHyphens/>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171962"/>
    <w:pPr>
      <w:suppressAutoHyphens/>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171962"/>
    <w:pPr>
      <w:suppressAutoHyphens/>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171962"/>
    <w:pPr>
      <w:suppressAutoHyphens/>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171962"/>
    <w:pPr>
      <w:suppressAutoHyphens/>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171962"/>
    <w:pPr>
      <w:suppressAutoHyphens/>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171962"/>
    <w:pPr>
      <w:suppressAutoHyphens/>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171962"/>
    <w:pPr>
      <w:suppressAutoHyphens/>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171962"/>
    <w:pPr>
      <w:suppressAutoHyphens/>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171962"/>
    <w:pPr>
      <w:suppressAutoHyphens/>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171962"/>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171962"/>
    <w:pPr>
      <w:suppressAutoHyphens/>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171962"/>
    <w:pPr>
      <w:suppressAutoHyphens/>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171962"/>
    <w:pPr>
      <w:suppressAutoHyphens/>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171962"/>
    <w:pPr>
      <w:ind w:left="240" w:hanging="240"/>
    </w:pPr>
  </w:style>
  <w:style w:type="paragraph" w:styleId="TableofFigures">
    <w:name w:val="table of figures"/>
    <w:basedOn w:val="Normal"/>
    <w:next w:val="Normal"/>
    <w:uiPriority w:val="99"/>
    <w:semiHidden/>
    <w:rsid w:val="00171962"/>
  </w:style>
  <w:style w:type="table" w:styleId="TableProfessional">
    <w:name w:val="Table Professional"/>
    <w:basedOn w:val="TableNormal"/>
    <w:uiPriority w:val="99"/>
    <w:semiHidden/>
    <w:rsid w:val="00171962"/>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171962"/>
    <w:pPr>
      <w:suppressAutoHyphens/>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171962"/>
    <w:pPr>
      <w:suppressAutoHyphens/>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171962"/>
    <w:pPr>
      <w:suppressAutoHyphens/>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171962"/>
    <w:pPr>
      <w:suppressAutoHyphens/>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171962"/>
    <w:pPr>
      <w:suppressAutoHyphens/>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17196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171962"/>
    <w:pPr>
      <w:suppressAutoHyphen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171962"/>
    <w:pPr>
      <w:suppressAutoHyphens/>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171962"/>
    <w:pPr>
      <w:suppressAutoHyphens/>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CD4158"/>
    <w:pPr>
      <w:spacing w:before="120"/>
    </w:pPr>
    <w:rPr>
      <w:rFonts w:eastAsia="MS Gothic"/>
      <w:b/>
      <w:bCs/>
      <w:color w:val="474747"/>
      <w:szCs w:val="24"/>
    </w:rPr>
  </w:style>
  <w:style w:type="paragraph" w:styleId="TOC1">
    <w:name w:val="toc 1"/>
    <w:basedOn w:val="Normal"/>
    <w:next w:val="Normal"/>
    <w:autoRedefine/>
    <w:uiPriority w:val="99"/>
    <w:semiHidden/>
    <w:rsid w:val="00CD4158"/>
    <w:pPr>
      <w:spacing w:before="120" w:after="60"/>
      <w:ind w:left="340" w:right="340" w:hanging="340"/>
    </w:pPr>
    <w:rPr>
      <w:color w:val="0D0D0D"/>
    </w:rPr>
  </w:style>
  <w:style w:type="paragraph" w:styleId="TOC2">
    <w:name w:val="toc 2"/>
    <w:basedOn w:val="Normal"/>
    <w:next w:val="Normal"/>
    <w:autoRedefine/>
    <w:uiPriority w:val="99"/>
    <w:semiHidden/>
    <w:rsid w:val="00CD4158"/>
    <w:pPr>
      <w:spacing w:after="60"/>
      <w:ind w:left="680" w:right="340" w:hanging="340"/>
    </w:pPr>
  </w:style>
  <w:style w:type="paragraph" w:styleId="TOC3">
    <w:name w:val="toc 3"/>
    <w:basedOn w:val="Normal"/>
    <w:next w:val="Normal"/>
    <w:autoRedefine/>
    <w:uiPriority w:val="99"/>
    <w:semiHidden/>
    <w:rsid w:val="00CD4158"/>
    <w:pPr>
      <w:spacing w:after="60"/>
      <w:ind w:left="1020" w:right="340" w:hanging="340"/>
    </w:pPr>
  </w:style>
  <w:style w:type="paragraph" w:styleId="TOC4">
    <w:name w:val="toc 4"/>
    <w:basedOn w:val="Normal"/>
    <w:next w:val="Normal"/>
    <w:autoRedefine/>
    <w:uiPriority w:val="99"/>
    <w:semiHidden/>
    <w:rsid w:val="00CD4158"/>
    <w:pPr>
      <w:tabs>
        <w:tab w:val="right" w:leader="dot" w:pos="9017"/>
      </w:tabs>
      <w:spacing w:after="60"/>
      <w:ind w:left="1361" w:right="340" w:hanging="340"/>
    </w:pPr>
  </w:style>
  <w:style w:type="paragraph" w:styleId="TOC5">
    <w:name w:val="toc 5"/>
    <w:basedOn w:val="Normal"/>
    <w:next w:val="Normal"/>
    <w:autoRedefine/>
    <w:uiPriority w:val="99"/>
    <w:semiHidden/>
    <w:rsid w:val="00CD4158"/>
    <w:pPr>
      <w:spacing w:after="60"/>
      <w:ind w:left="1701" w:right="340" w:hanging="340"/>
    </w:pPr>
  </w:style>
  <w:style w:type="paragraph" w:styleId="TOC6">
    <w:name w:val="toc 6"/>
    <w:basedOn w:val="Normal"/>
    <w:next w:val="Normal"/>
    <w:autoRedefine/>
    <w:uiPriority w:val="99"/>
    <w:semiHidden/>
    <w:rsid w:val="00171962"/>
    <w:pPr>
      <w:spacing w:after="100"/>
      <w:ind w:left="1200"/>
    </w:pPr>
  </w:style>
  <w:style w:type="paragraph" w:styleId="TOC7">
    <w:name w:val="toc 7"/>
    <w:basedOn w:val="Normal"/>
    <w:next w:val="Normal"/>
    <w:autoRedefine/>
    <w:uiPriority w:val="99"/>
    <w:semiHidden/>
    <w:rsid w:val="00171962"/>
    <w:pPr>
      <w:spacing w:after="100"/>
      <w:ind w:left="1440"/>
    </w:pPr>
  </w:style>
  <w:style w:type="paragraph" w:styleId="TOC8">
    <w:name w:val="toc 8"/>
    <w:basedOn w:val="Normal"/>
    <w:next w:val="Normal"/>
    <w:autoRedefine/>
    <w:uiPriority w:val="99"/>
    <w:semiHidden/>
    <w:rsid w:val="00171962"/>
    <w:pPr>
      <w:spacing w:after="100"/>
      <w:ind w:left="1680"/>
    </w:pPr>
  </w:style>
  <w:style w:type="paragraph" w:styleId="TOC9">
    <w:name w:val="toc 9"/>
    <w:basedOn w:val="Normal"/>
    <w:next w:val="Normal"/>
    <w:autoRedefine/>
    <w:uiPriority w:val="99"/>
    <w:semiHidden/>
    <w:rsid w:val="00171962"/>
    <w:pPr>
      <w:spacing w:after="100"/>
      <w:ind w:left="1920"/>
    </w:pPr>
  </w:style>
  <w:style w:type="paragraph" w:customStyle="1" w:styleId="ECHRTitleCentre1">
    <w:name w:val="ECHR_Title_Centre_1"/>
    <w:aliases w:val="Opi_H_Head"/>
    <w:basedOn w:val="Normal"/>
    <w:next w:val="OpiPara"/>
    <w:uiPriority w:val="39"/>
    <w:qFormat/>
    <w:rsid w:val="00CD4158"/>
    <w:pPr>
      <w:keepNext/>
      <w:keepLines/>
      <w:spacing w:after="240"/>
      <w:jc w:val="center"/>
      <w:outlineLvl w:val="0"/>
    </w:pPr>
    <w:rPr>
      <w:sz w:val="28"/>
    </w:rPr>
  </w:style>
  <w:style w:type="character" w:customStyle="1" w:styleId="JUNAMES">
    <w:name w:val="JU_NAMES"/>
    <w:uiPriority w:val="17"/>
    <w:qFormat/>
    <w:rsid w:val="00CD4158"/>
    <w:rPr>
      <w:smallCaps/>
      <w:lang w:val="bg-BG" w:eastAsia="bg-BG"/>
    </w:rPr>
  </w:style>
  <w:style w:type="character" w:customStyle="1" w:styleId="JuITMark">
    <w:name w:val="Ju_ITMark"/>
    <w:uiPriority w:val="38"/>
    <w:qFormat/>
    <w:rsid w:val="00CD4158"/>
    <w:rPr>
      <w:color w:val="000000"/>
      <w:sz w:val="14"/>
      <w:lang w:val="bg-BG" w:eastAsia="bg-BG"/>
    </w:rPr>
  </w:style>
  <w:style w:type="paragraph" w:customStyle="1" w:styleId="OpiTranslation">
    <w:name w:val="Opi_Translation"/>
    <w:basedOn w:val="Normal"/>
    <w:next w:val="OpiPara"/>
    <w:uiPriority w:val="40"/>
    <w:qFormat/>
    <w:rsid w:val="00CD4158"/>
    <w:pPr>
      <w:jc w:val="center"/>
      <w:outlineLvl w:val="0"/>
    </w:pPr>
    <w:rPr>
      <w:i/>
    </w:rPr>
  </w:style>
  <w:style w:type="paragraph" w:customStyle="1" w:styleId="DecHTitle">
    <w:name w:val="Dec_H_Title"/>
    <w:basedOn w:val="ECHRTitleCentre1"/>
    <w:uiPriority w:val="7"/>
    <w:rsid w:val="00CD4158"/>
  </w:style>
  <w:style w:type="paragraph" w:customStyle="1" w:styleId="JuCourt">
    <w:name w:val="Ju_Court"/>
    <w:basedOn w:val="Normal"/>
    <w:next w:val="Normal"/>
    <w:uiPriority w:val="16"/>
    <w:qFormat/>
    <w:rsid w:val="00CD4158"/>
    <w:pPr>
      <w:tabs>
        <w:tab w:val="left" w:pos="907"/>
        <w:tab w:val="left" w:pos="1701"/>
        <w:tab w:val="right" w:pos="7371"/>
      </w:tabs>
      <w:spacing w:before="240"/>
      <w:ind w:left="397" w:hanging="397"/>
      <w:jc w:val="left"/>
    </w:pPr>
    <w:rPr>
      <w:lang w:bidi="en-US"/>
    </w:rPr>
  </w:style>
  <w:style w:type="paragraph" w:customStyle="1" w:styleId="DecList">
    <w:name w:val="Dec_List"/>
    <w:basedOn w:val="Normal"/>
    <w:uiPriority w:val="9"/>
    <w:rsid w:val="00CD4158"/>
    <w:pPr>
      <w:spacing w:before="240"/>
      <w:ind w:left="284"/>
    </w:pPr>
  </w:style>
  <w:style w:type="paragraph" w:customStyle="1" w:styleId="ECHRHeading3">
    <w:name w:val="ECHR_Heading_3"/>
    <w:aliases w:val="Ju_H_1."/>
    <w:basedOn w:val="Heading3"/>
    <w:next w:val="ECHRPara"/>
    <w:uiPriority w:val="21"/>
    <w:qFormat/>
    <w:rsid w:val="00CD4158"/>
    <w:pPr>
      <w:keepNext/>
      <w:keepLines/>
      <w:tabs>
        <w:tab w:val="left" w:pos="731"/>
      </w:tabs>
      <w:spacing w:before="240" w:after="120" w:line="240" w:lineRule="auto"/>
      <w:ind w:left="732" w:hanging="301"/>
    </w:pPr>
    <w:rPr>
      <w:b w:val="0"/>
      <w:i/>
      <w:color w:val="000000"/>
    </w:rPr>
  </w:style>
  <w:style w:type="paragraph" w:customStyle="1" w:styleId="ECHRHeading4">
    <w:name w:val="ECHR_Heading_4"/>
    <w:aliases w:val="Ju_H_a"/>
    <w:basedOn w:val="Heading4"/>
    <w:next w:val="ECHRPara"/>
    <w:uiPriority w:val="22"/>
    <w:qFormat/>
    <w:rsid w:val="00CD4158"/>
    <w:pPr>
      <w:keepNext/>
      <w:keepLines/>
      <w:tabs>
        <w:tab w:val="left" w:pos="975"/>
      </w:tabs>
      <w:spacing w:before="240" w:after="120"/>
      <w:ind w:left="975" w:hanging="340"/>
    </w:pPr>
    <w:rPr>
      <w:i w:val="0"/>
      <w:color w:val="000000"/>
      <w:sz w:val="20"/>
    </w:rPr>
  </w:style>
  <w:style w:type="paragraph" w:customStyle="1" w:styleId="ECHRHeading5">
    <w:name w:val="ECHR_Heading_5"/>
    <w:aliases w:val="Ju_H_i"/>
    <w:basedOn w:val="Heading5"/>
    <w:next w:val="ECHRPara"/>
    <w:uiPriority w:val="23"/>
    <w:qFormat/>
    <w:rsid w:val="00CD4158"/>
    <w:pPr>
      <w:keepNext/>
      <w:keepLines/>
      <w:tabs>
        <w:tab w:val="left" w:pos="1191"/>
      </w:tabs>
      <w:spacing w:before="240" w:after="120"/>
      <w:ind w:left="1190" w:hanging="357"/>
    </w:pPr>
    <w:rPr>
      <w:b w:val="0"/>
      <w:i/>
      <w:color w:val="000000"/>
      <w:sz w:val="20"/>
    </w:rPr>
  </w:style>
  <w:style w:type="paragraph" w:customStyle="1" w:styleId="ECHRHeading6">
    <w:name w:val="ECHR_Heading_6"/>
    <w:aliases w:val="Ju_H_alpha"/>
    <w:basedOn w:val="Heading6"/>
    <w:next w:val="ECHRPara"/>
    <w:uiPriority w:val="24"/>
    <w:qFormat/>
    <w:rsid w:val="00CD4158"/>
    <w:pPr>
      <w:keepNext/>
      <w:keepLines/>
      <w:tabs>
        <w:tab w:val="left" w:pos="1372"/>
      </w:tabs>
      <w:spacing w:before="240" w:after="120" w:line="240" w:lineRule="auto"/>
      <w:ind w:left="1373" w:hanging="335"/>
    </w:pPr>
    <w:rPr>
      <w:b w:val="0"/>
      <w:color w:val="000000"/>
      <w:sz w:val="20"/>
    </w:rPr>
  </w:style>
  <w:style w:type="paragraph" w:customStyle="1" w:styleId="ECHRHeading7">
    <w:name w:val="ECHR_Heading_7"/>
    <w:aliases w:val="Ju_H_–"/>
    <w:basedOn w:val="Heading7"/>
    <w:next w:val="ECHRPara"/>
    <w:uiPriority w:val="25"/>
    <w:qFormat/>
    <w:rsid w:val="00CD4158"/>
    <w:pPr>
      <w:keepNext/>
      <w:keepLines/>
      <w:spacing w:before="240" w:after="120"/>
      <w:ind w:left="1236"/>
    </w:pPr>
    <w:rPr>
      <w:sz w:val="20"/>
    </w:rPr>
  </w:style>
  <w:style w:type="paragraph" w:customStyle="1" w:styleId="OpiH1">
    <w:name w:val="Opi_H_1"/>
    <w:basedOn w:val="ECHRHeading2"/>
    <w:uiPriority w:val="42"/>
    <w:qFormat/>
    <w:rsid w:val="00CD4158"/>
    <w:pPr>
      <w:ind w:left="635" w:hanging="357"/>
      <w:outlineLvl w:val="2"/>
    </w:pPr>
  </w:style>
  <w:style w:type="paragraph" w:customStyle="1" w:styleId="OpiHa0">
    <w:name w:val="Opi_H_a"/>
    <w:basedOn w:val="ECHRHeading3"/>
    <w:uiPriority w:val="43"/>
    <w:qFormat/>
    <w:rsid w:val="00CD4158"/>
    <w:pPr>
      <w:ind w:left="833" w:hanging="357"/>
      <w:outlineLvl w:val="3"/>
    </w:pPr>
    <w:rPr>
      <w:b/>
      <w:i w:val="0"/>
      <w:sz w:val="20"/>
    </w:rPr>
  </w:style>
  <w:style w:type="paragraph" w:customStyle="1" w:styleId="OpiHi">
    <w:name w:val="Opi_H_i"/>
    <w:basedOn w:val="ECHRHeading4"/>
    <w:uiPriority w:val="44"/>
    <w:qFormat/>
    <w:rsid w:val="00CD4158"/>
    <w:pPr>
      <w:ind w:left="1037" w:hanging="357"/>
      <w:outlineLvl w:val="4"/>
    </w:pPr>
    <w:rPr>
      <w:b w:val="0"/>
      <w:i/>
    </w:rPr>
  </w:style>
  <w:style w:type="paragraph" w:customStyle="1" w:styleId="DummyStyle">
    <w:name w:val="Dummy_Style"/>
    <w:basedOn w:val="Normal"/>
    <w:semiHidden/>
    <w:qFormat/>
    <w:rsid w:val="00CD4158"/>
    <w:rPr>
      <w:color w:val="00B050"/>
    </w:rPr>
  </w:style>
  <w:style w:type="table" w:customStyle="1" w:styleId="ECHRListTable">
    <w:name w:val="ECHR_List_Table"/>
    <w:basedOn w:val="TableNormal"/>
    <w:uiPriority w:val="99"/>
    <w:rsid w:val="00CD4158"/>
    <w:rPr>
      <w:lang w:val="en-US" w:eastAsia="en-US"/>
    </w:rPr>
    <w:tblPr>
      <w:tblInd w:w="0" w:type="dxa"/>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left w:w="108" w:type="dxa"/>
        <w:bottom w:w="28" w:type="dxa"/>
        <w:right w:w="10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character" w:customStyle="1" w:styleId="JuHHeadChar">
    <w:name w:val="Ju_H_Head Char"/>
    <w:link w:val="ECHRTitle1"/>
    <w:uiPriority w:val="18"/>
    <w:rsid w:val="004C7B40"/>
    <w:rPr>
      <w:rFonts w:ascii="Times New Roman" w:eastAsia="MS Mincho" w:hAnsi="Times New Roman"/>
      <w:sz w:val="28"/>
      <w:lang w:val="bg-BG" w:eastAsia="bg-BG"/>
    </w:rPr>
  </w:style>
  <w:style w:type="character" w:customStyle="1" w:styleId="JuParaCar">
    <w:name w:val="Ju_Para Car"/>
    <w:basedOn w:val="DefaultParagraphFont"/>
    <w:uiPriority w:val="12"/>
    <w:locked/>
    <w:rsid w:val="00A12F2D"/>
  </w:style>
  <w:style w:type="paragraph" w:customStyle="1" w:styleId="jupara">
    <w:name w:val="jupara"/>
    <w:basedOn w:val="Normal"/>
    <w:rsid w:val="002C2826"/>
    <w:pPr>
      <w:ind w:firstLine="284"/>
    </w:pPr>
    <w:rPr>
      <w:rFonts w:eastAsia="Times New Roman"/>
      <w:szCs w:val="24"/>
    </w:rPr>
  </w:style>
  <w:style w:type="paragraph" w:customStyle="1" w:styleId="jucase0">
    <w:name w:val="jucase"/>
    <w:basedOn w:val="Normal"/>
    <w:rsid w:val="002C2826"/>
    <w:pPr>
      <w:ind w:firstLine="284"/>
    </w:pPr>
    <w:rPr>
      <w:rFonts w:eastAsia="Times New Roman"/>
      <w:b/>
      <w:bCs/>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BAC89-7DC0-49D9-A7FB-E00A68B99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4194</Words>
  <Characters>23909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2016-01-09T08:27:00Z</dcterms:created>
  <dcterms:modified xsi:type="dcterms:W3CDTF">2016-01-09T08:27:00Z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