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DC" w:rsidRPr="00216DDC" w:rsidRDefault="00216DDC" w:rsidP="0021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16DDC" w:rsidRPr="00216DDC" w:rsidRDefault="00216DDC" w:rsidP="0021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DDC" w:rsidRPr="00216DDC" w:rsidRDefault="00216DDC" w:rsidP="00216DDC">
      <w:pPr>
        <w:keepNext/>
        <w:keepLines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>ТРЕТО ОТДЕЛЕНИЕ</w:t>
      </w:r>
    </w:p>
    <w:p w:rsidR="00216DDC" w:rsidRPr="00216DDC" w:rsidRDefault="00216DDC" w:rsidP="00216DDC">
      <w:pPr>
        <w:keepNext/>
        <w:keepLines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ДЕЛО </w:t>
      </w:r>
      <w:r w:rsidRPr="00216DDC">
        <w:rPr>
          <w:rFonts w:ascii="Times New Roman" w:eastAsia="Times New Roman" w:hAnsi="Times New Roman" w:cs="Times New Roman"/>
          <w:b/>
          <w:sz w:val="24"/>
          <w:szCs w:val="24"/>
        </w:rPr>
        <w:t>ШОПОВ И ДРУГИ срещу БЪЛГАРИЯ</w:t>
      </w:r>
    </w:p>
    <w:p w:rsidR="00216DDC" w:rsidRPr="00216DDC" w:rsidRDefault="00216DDC" w:rsidP="00216DDC">
      <w:pPr>
        <w:keepNext/>
        <w:keepLines/>
        <w:tabs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i/>
          <w:sz w:val="24"/>
          <w:szCs w:val="24"/>
        </w:rPr>
        <w:t xml:space="preserve">(Жалба № 38398/11 и 2 други - </w:t>
      </w:r>
      <w:r w:rsidRPr="00216DDC">
        <w:rPr>
          <w:rFonts w:ascii="Times New Roman" w:eastAsia="Times New Roman" w:hAnsi="Times New Roman" w:cs="Times New Roman"/>
          <w:i/>
          <w:iCs/>
          <w:sz w:val="24"/>
          <w:szCs w:val="24"/>
        </w:rPr>
        <w:t>вж. приложения списък</w:t>
      </w:r>
      <w:r w:rsidRPr="00216DD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216DDC" w:rsidRPr="00216DDC" w:rsidRDefault="00216DDC" w:rsidP="00216DDC">
      <w:pPr>
        <w:keepNext/>
        <w:keepLines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DDC" w:rsidRPr="00216DDC" w:rsidRDefault="00216DDC" w:rsidP="00216DDC">
      <w:pPr>
        <w:keepNext/>
        <w:keepLines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DDC" w:rsidRPr="00216DDC" w:rsidRDefault="00216DDC" w:rsidP="00216DDC">
      <w:pPr>
        <w:keepNext/>
        <w:keepLines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DDC" w:rsidRPr="00216DDC" w:rsidRDefault="00216DDC" w:rsidP="00216DDC">
      <w:pPr>
        <w:keepNext/>
        <w:keepLines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DDC" w:rsidRPr="00216DDC" w:rsidRDefault="00216DDC" w:rsidP="00216DDC">
      <w:pPr>
        <w:keepNext/>
        <w:keepLines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DDC" w:rsidRPr="00216DDC" w:rsidRDefault="00216DDC" w:rsidP="00216DDC">
      <w:pPr>
        <w:keepNext/>
        <w:keepLines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DDC" w:rsidRPr="00216DDC" w:rsidRDefault="00216DDC" w:rsidP="00216DDC">
      <w:pPr>
        <w:keepNext/>
        <w:keepLines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216DDC" w:rsidRPr="00216DDC" w:rsidRDefault="00216DDC" w:rsidP="00216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16DDC" w:rsidRPr="00216DDC" w:rsidRDefault="00216DDC" w:rsidP="00216DDC">
      <w:pPr>
        <w:keepNext/>
        <w:keepLines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>СТРАСБУРГ</w:t>
      </w:r>
    </w:p>
    <w:p w:rsidR="00216DDC" w:rsidRPr="00216DDC" w:rsidRDefault="00216DDC" w:rsidP="00216DDC">
      <w:pPr>
        <w:keepNext/>
        <w:keepLines/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>9 февруари 2023 г.</w:t>
      </w:r>
    </w:p>
    <w:p w:rsidR="00216DDC" w:rsidRPr="00216DDC" w:rsidRDefault="00216DDC" w:rsidP="0021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DDC" w:rsidRPr="00216DDC" w:rsidRDefault="00216DDC" w:rsidP="0021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DDC" w:rsidRPr="00216DDC" w:rsidRDefault="00216DDC" w:rsidP="00216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6DDC" w:rsidRPr="00216DDC" w:rsidRDefault="00216DDC" w:rsidP="00216DD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16DDC" w:rsidRPr="00216DDC" w:rsidSect="00774B7A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endnotePr>
            <w:numFmt w:val="decimal"/>
          </w:endnotePr>
          <w:pgSz w:w="11906" w:h="16838" w:code="9"/>
          <w:pgMar w:top="2274" w:right="2274" w:bottom="2274" w:left="2274" w:header="1701" w:footer="720" w:gutter="0"/>
          <w:cols w:space="720"/>
          <w:titlePg/>
          <w:docGrid w:linePitch="326"/>
        </w:sectPr>
      </w:pPr>
      <w:r w:rsidRPr="00216DDC">
        <w:rPr>
          <w:rFonts w:ascii="Times New Roman" w:eastAsia="Times New Roman" w:hAnsi="Times New Roman" w:cs="Times New Roman"/>
          <w:i/>
          <w:sz w:val="24"/>
          <w:szCs w:val="24"/>
        </w:rPr>
        <w:t>Това решение е окончателно, но в текста му могат да бъдат нанесени редакционни корекции.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делото Шопов и други срещу България,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>Европейският съд по правата на човека (Трето отделение), заседаващ като комитет, състоящ се от:</w:t>
      </w:r>
    </w:p>
    <w:p w:rsidR="00216DDC" w:rsidRPr="00216DDC" w:rsidRDefault="00216DDC" w:rsidP="00216DD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ab/>
        <w:t xml:space="preserve">Дариан Павли (Darian Pavli), </w:t>
      </w:r>
      <w:r w:rsidRPr="00216DDC">
        <w:rPr>
          <w:rFonts w:ascii="Times New Roman" w:eastAsia="Times New Roman" w:hAnsi="Times New Roman" w:cs="Times New Roman"/>
          <w:i/>
          <w:iCs/>
          <w:sz w:val="24"/>
          <w:szCs w:val="24"/>
        </w:rPr>
        <w:t>председател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16DDC" w:rsidRPr="00216DDC" w:rsidRDefault="00216DDC" w:rsidP="00216DD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ab/>
        <w:t>Йоанис Ктистакис (Ioannis Ktistakis),</w:t>
      </w:r>
    </w:p>
    <w:p w:rsidR="00216DDC" w:rsidRPr="00216DDC" w:rsidRDefault="00216DDC" w:rsidP="00216DD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ab/>
        <w:t>Андреас Зюнд (Andreas Zünd), съдии,</w:t>
      </w:r>
    </w:p>
    <w:p w:rsidR="00216DDC" w:rsidRPr="00216DDC" w:rsidRDefault="00216DDC" w:rsidP="00216DDC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>и Виктория Марадудина (Viktoriya Maradudina</w:t>
      </w:r>
      <w:r w:rsidRPr="00216DDC">
        <w:rPr>
          <w:rFonts w:ascii="Times New Roman" w:eastAsia="Times New Roman" w:hAnsi="Times New Roman" w:cs="Times New Roman"/>
          <w:i/>
          <w:iCs/>
          <w:sz w:val="24"/>
          <w:szCs w:val="24"/>
        </w:rPr>
        <w:t>), и.д. заместник-секретар на отделението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>След обсъждане в закрито заседание на 19 януари 2023 г,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>Постанови следното решение, прието на същата дата:</w:t>
      </w:r>
    </w:p>
    <w:p w:rsidR="00216DDC" w:rsidRPr="00216DDC" w:rsidRDefault="00216DDC" w:rsidP="00216DDC">
      <w:pPr>
        <w:keepNext/>
        <w:keepLines/>
        <w:spacing w:before="100" w:beforeAutospacing="1" w:after="240" w:line="240" w:lineRule="auto"/>
        <w:ind w:left="360"/>
        <w:jc w:val="both"/>
        <w:outlineLvl w:val="0"/>
        <w:rPr>
          <w:rFonts w:ascii="Times New Roman" w:eastAsia="MS Gothic" w:hAnsi="Times New Roman" w:cs="Times New Roman"/>
          <w:bCs/>
          <w:caps/>
          <w:sz w:val="28"/>
          <w:szCs w:val="28"/>
        </w:rPr>
      </w:pPr>
      <w:bookmarkStart w:id="1" w:name="ITMARKStartJudgment"/>
      <w:bookmarkEnd w:id="1"/>
      <w:r w:rsidRPr="00216DDC">
        <w:rPr>
          <w:rFonts w:ascii="Times New Roman" w:eastAsia="MS Gothic" w:hAnsi="Times New Roman" w:cs="Times New Roman"/>
          <w:bCs/>
          <w:caps/>
          <w:sz w:val="28"/>
          <w:szCs w:val="28"/>
        </w:rPr>
        <w:t>ПРОЦЕДУРА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.  Делото е образувано по жалби срещу България, подадени до Съда на основание чл. 34 от Конвенцията за защита на правата на човека и основните свободи („Конвенцията“) на </w:t>
      </w:r>
      <w:r w:rsidRPr="00216DDC">
        <w:rPr>
          <w:rFonts w:ascii="Times New Roman" w:eastAsia="PMingLiU" w:hAnsi="Times New Roman" w:cs="Times New Roman"/>
          <w:sz w:val="24"/>
          <w:szCs w:val="24"/>
        </w:rPr>
        <w:t>различните дати, посочени в приложената таблица.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\* MERGEFORMAT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. Жалбите са комуникирани на българското правителство („Правителството“).</w:t>
      </w:r>
    </w:p>
    <w:p w:rsidR="00216DDC" w:rsidRPr="00216DDC" w:rsidRDefault="00216DDC" w:rsidP="00216DDC">
      <w:pPr>
        <w:keepNext/>
        <w:keepLines/>
        <w:spacing w:before="100" w:beforeAutospacing="1" w:after="240" w:line="240" w:lineRule="auto"/>
        <w:ind w:left="360"/>
        <w:outlineLvl w:val="0"/>
        <w:rPr>
          <w:rFonts w:ascii="Times New Roman" w:eastAsia="MS Gothic" w:hAnsi="Times New Roman" w:cs="Times New Roman"/>
          <w:bCs/>
          <w:caps/>
          <w:sz w:val="28"/>
          <w:szCs w:val="28"/>
        </w:rPr>
      </w:pPr>
      <w:r w:rsidRPr="00216DDC">
        <w:rPr>
          <w:rFonts w:ascii="Times New Roman" w:eastAsia="MS Gothic" w:hAnsi="Times New Roman" w:cs="Times New Roman"/>
          <w:bCs/>
          <w:caps/>
          <w:sz w:val="28"/>
          <w:szCs w:val="28"/>
        </w:rPr>
        <w:t>ФАКТИТЕ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216DDC">
        <w:rPr>
          <w:rFonts w:ascii="Times New Roman" w:eastAsia="PMingLiU" w:hAnsi="Times New Roman" w:cs="Times New Roman"/>
          <w:sz w:val="24"/>
          <w:szCs w:val="24"/>
        </w:rPr>
        <w:t xml:space="preserve">Списъкът на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жалбоподателите и съответните фактически данни по случая са посочени в приложената таблица.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.  Жалбоподателите </w:t>
      </w:r>
      <w:r w:rsidRPr="00216D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се оплакват от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отнемането на приходи</w:t>
      </w:r>
      <w:r w:rsidR="005B47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B4719">
        <w:rPr>
          <w:rFonts w:ascii="Times New Roman" w:eastAsia="Times New Roman" w:hAnsi="Times New Roman" w:cs="Times New Roman"/>
          <w:sz w:val="24"/>
          <w:szCs w:val="24"/>
        </w:rPr>
        <w:t>които се твърди, че са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 от престъпна дейност</w:t>
      </w:r>
      <w:r w:rsidRPr="00216D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16DDC" w:rsidRPr="00216DDC" w:rsidRDefault="00216DDC" w:rsidP="00216DDC">
      <w:pPr>
        <w:keepNext/>
        <w:keepLines/>
        <w:spacing w:before="100" w:beforeAutospacing="1" w:after="240" w:line="240" w:lineRule="auto"/>
        <w:ind w:left="360"/>
        <w:outlineLvl w:val="0"/>
        <w:rPr>
          <w:rFonts w:ascii="Times New Roman" w:eastAsia="MS Gothic" w:hAnsi="Times New Roman" w:cs="Times New Roman"/>
          <w:bCs/>
          <w:caps/>
          <w:sz w:val="28"/>
          <w:szCs w:val="28"/>
        </w:rPr>
      </w:pPr>
      <w:r w:rsidRPr="00216DDC">
        <w:rPr>
          <w:rFonts w:ascii="Times New Roman" w:eastAsia="MS Gothic" w:hAnsi="Times New Roman" w:cs="Times New Roman"/>
          <w:bCs/>
          <w:caps/>
          <w:sz w:val="28"/>
          <w:szCs w:val="28"/>
        </w:rPr>
        <w:t>ПРАВОТО</w:t>
      </w:r>
    </w:p>
    <w:p w:rsidR="00216DDC" w:rsidRPr="00216DDC" w:rsidRDefault="00216DDC" w:rsidP="00216DDC">
      <w:pPr>
        <w:keepNext/>
        <w:keepLines/>
        <w:spacing w:before="100" w:beforeAutospacing="1" w:after="240" w:line="240" w:lineRule="auto"/>
        <w:ind w:left="357" w:hanging="357"/>
        <w:outlineLvl w:val="1"/>
        <w:rPr>
          <w:rFonts w:ascii="Times New Roman" w:eastAsia="MS Gothic" w:hAnsi="Times New Roman" w:cs="Times New Roman"/>
          <w:bCs/>
          <w:caps/>
          <w:sz w:val="24"/>
          <w:szCs w:val="26"/>
        </w:rPr>
      </w:pPr>
      <w:r w:rsidRPr="00216DDC">
        <w:rPr>
          <w:rFonts w:ascii="Times New Roman" w:eastAsia="MS Gothic" w:hAnsi="Times New Roman" w:cs="Times New Roman"/>
          <w:bCs/>
          <w:caps/>
          <w:sz w:val="24"/>
          <w:szCs w:val="26"/>
        </w:rPr>
        <w:t>I. ОБЕДИНЯВАНЕ НА ЖАЛБИТЕ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5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.  Предвид сходния предмет на жалбите Съдът намира за уместно да ги разгледа заедно в едно решение.</w:t>
      </w:r>
    </w:p>
    <w:p w:rsidR="00216DDC" w:rsidRPr="00216DDC" w:rsidRDefault="00216DDC" w:rsidP="00216DDC">
      <w:pPr>
        <w:keepNext/>
        <w:keepLines/>
        <w:numPr>
          <w:ilvl w:val="1"/>
          <w:numId w:val="0"/>
        </w:numPr>
        <w:spacing w:before="100" w:beforeAutospacing="1" w:after="240" w:line="240" w:lineRule="auto"/>
        <w:ind w:left="357" w:hanging="357"/>
        <w:outlineLvl w:val="1"/>
        <w:rPr>
          <w:rFonts w:ascii="Times New Roman" w:eastAsia="PMingLiU" w:hAnsi="Times New Roman" w:cs="Times New Roman"/>
          <w:bCs/>
          <w:caps/>
          <w:sz w:val="24"/>
          <w:szCs w:val="26"/>
        </w:rPr>
      </w:pPr>
      <w:r w:rsidRPr="00216DDC">
        <w:rPr>
          <w:rFonts w:ascii="Times New Roman" w:eastAsia="MS Gothic" w:hAnsi="Times New Roman" w:cs="Times New Roman"/>
          <w:bCs/>
          <w:caps/>
          <w:sz w:val="24"/>
          <w:szCs w:val="26"/>
        </w:rPr>
        <w:t xml:space="preserve">II. ТВЪРДЯНО НАРУШЕНИЕ НА ЧЛ. 1 ОТ </w:t>
      </w:r>
      <w:r w:rsidRPr="00216DDC">
        <w:rPr>
          <w:rFonts w:ascii="Times New Roman" w:eastAsia="PMingLiU" w:hAnsi="Times New Roman" w:cs="Times New Roman"/>
          <w:bCs/>
          <w:caps/>
          <w:sz w:val="24"/>
          <w:szCs w:val="26"/>
        </w:rPr>
        <w:t>ПРОТОКОЛ № 1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.  Жалбоподателите се оплакват от отнемането на имуществото им, за което се твърди, че е придобито от престъпна дейност</w:t>
      </w:r>
      <w:r w:rsidRPr="00216DD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16DDC">
        <w:rPr>
          <w:rFonts w:ascii="Times New Roman" w:eastAsia="PMingLiU" w:hAnsi="Times New Roman" w:cs="Times New Roman"/>
          <w:sz w:val="24"/>
          <w:szCs w:val="24"/>
        </w:rPr>
        <w:t xml:space="preserve">Те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се позовават, изрично или по същество, на чл. 1 от </w:t>
      </w:r>
      <w:r w:rsidRPr="00216DDC">
        <w:rPr>
          <w:rFonts w:ascii="Times New Roman" w:eastAsia="PMingLiU" w:hAnsi="Times New Roman" w:cs="Times New Roman"/>
          <w:sz w:val="24"/>
          <w:szCs w:val="24"/>
        </w:rPr>
        <w:t>Протокол № 1.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\* MERGEFORMAT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.  Правителството, без да предоставя повече подробности, кани Съда да реши делата въз основа на водещото решение по </w:t>
      </w:r>
      <w:r w:rsidRPr="00216DDC">
        <w:rPr>
          <w:rFonts w:ascii="Times New Roman" w:eastAsia="Times New Roman" w:hAnsi="Times New Roman" w:cs="Times New Roman"/>
          <w:iCs/>
          <w:sz w:val="24"/>
          <w:szCs w:val="24"/>
        </w:rPr>
        <w:t>делото</w:t>
      </w:r>
      <w:r w:rsidRPr="00216DDC">
        <w:rPr>
          <w:rFonts w:ascii="Times New Roman" w:eastAsia="Times New Roman" w:hAnsi="Times New Roman" w:cs="Times New Roman"/>
          <w:i/>
          <w:sz w:val="24"/>
          <w:szCs w:val="24"/>
        </w:rPr>
        <w:t xml:space="preserve"> Тодоров и други срещу България </w:t>
      </w:r>
      <w:r w:rsidRPr="00216DDC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№ 50705/11 и 6 други, 13 юли 2021 г.).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.  Това решение се отнася до отнемането на имущество, предполагаемо придобито от престъпна дейност по силата на същото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законодателство, което се прилага по настоящото дело, а именно Закона за отнемане в полза на държавата на имущество, придобито от престъпна дейност от 2005 г. (наричан по-нататък „Законът от 2005 г.“).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\* MERGEFORMAT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9</w:t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.  По делото </w:t>
      </w:r>
      <w:r w:rsidRPr="00216DDC">
        <w:rPr>
          <w:rFonts w:ascii="Times New Roman" w:eastAsia="Times New Roman" w:hAnsi="Times New Roman" w:cs="Times New Roman"/>
          <w:i/>
          <w:sz w:val="24"/>
          <w:szCs w:val="24"/>
        </w:rPr>
        <w:t>Тодоров и други</w:t>
      </w:r>
      <w:r w:rsidRPr="00216D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(цитирано по-горе, §§ 200-09) Съдът е установил някои потенциални недостатъци в Закона от 2005 г. и в начина, по който е бил приложен. В това отношение той подчертава комбинирания ефект от широкия обхват на неговото приложение - по отношение на предикатните престъпления и по отношение на периодите, за които се проверяват приходите и разходите на обвиняемите, трудностите за обвиняемите да докажат това, което съдилищата считат за „законен“ доход през такъв период, като се вземе предвид освен това инфлацията и икономическите промени, и презумпцията, че всяко имущество, за което не е доказано, че има „законен“ произход, е имущество, придобито от престъпна дейност. Съдът намира, че макар тези потенциални недостатъци да не са достатъчни, за да се приеме, че всяко отнемане по Закона</w:t>
      </w:r>
      <w:r w:rsidR="00542F5C">
        <w:rPr>
          <w:rFonts w:ascii="Times New Roman" w:eastAsia="Times New Roman" w:hAnsi="Times New Roman" w:cs="Times New Roman"/>
          <w:sz w:val="24"/>
          <w:szCs w:val="24"/>
        </w:rPr>
        <w:t xml:space="preserve"> от 2005 г. е в противоречие с ч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л. 1 от Протокол № 1, те със сигурност са създали значителна тежест за обвиняемите в производствата за отнемане и са можели да наклонят баланса в полза на държавата. Ето защо, като противовес и гаранция за правата на жалбоподателите, е от решаващо значение националните съдилища да установят причинно-следствената връзка между имуществото, за което се иска конфискация, и престъпното поведение на ответниците. Съдът изразява готовност да приеме оценката на националните съдилища относно съществуването на такава връзка, доколкото тя не е произволна или явно необоснована (пак там, §§ 210-16). 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\* MERGEFORMAT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10</w:t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.  Прилагайки тези изисквания към конкретните случаи, разгледани във водещото решение, Съдът установява нарушение на чл. 1 от Протокол № 1 в тези от тях, в които националните съдилища не са успели да обосноват съществуването на причинно-следствената връзка, определена по-горе, и са разпоредили отнемане на имущество, позовавайки се единствено на презумпцията, съдържаща се в Закона от 2005 г., и на несъответствията между разходите на жалбоподателите и техните „законни“ доходи през съответните периоди (вж. §§ 217-50 от решението). 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\* MERGEFORMAT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11</w:t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.  Разглежданите </w:t>
      </w:r>
      <w:r w:rsidR="00542F5C">
        <w:rPr>
          <w:rFonts w:ascii="Times New Roman" w:eastAsia="Times New Roman" w:hAnsi="Times New Roman" w:cs="Times New Roman"/>
          <w:sz w:val="24"/>
          <w:szCs w:val="24"/>
        </w:rPr>
        <w:t xml:space="preserve">тук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жалби са сходни. По-специално, като разпореждат отнемане на имуществото на жалбоподателите, националните съдилища не са опитали да обосноват причинно-следствена</w:t>
      </w:r>
      <w:r w:rsidR="00542F5C">
        <w:rPr>
          <w:rFonts w:ascii="Times New Roman" w:eastAsia="Times New Roman" w:hAnsi="Times New Roman" w:cs="Times New Roman"/>
          <w:sz w:val="24"/>
          <w:szCs w:val="24"/>
        </w:rPr>
        <w:t>та връзка, изисквана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 от Съда, като вместо това възприемат същия погрешен подход, който е упрекван от Съда в делата, разгледани по </w:t>
      </w:r>
      <w:r w:rsidRPr="00216DDC">
        <w:rPr>
          <w:rFonts w:ascii="Times New Roman" w:eastAsia="Times New Roman" w:hAnsi="Times New Roman" w:cs="Times New Roman"/>
          <w:i/>
          <w:iCs/>
          <w:sz w:val="24"/>
          <w:szCs w:val="24"/>
        </w:rPr>
        <w:t>Тодоров и др.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 Поради това Съдът не вижда причина да достигне до заключение, различно от това по тези дела.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12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42F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Следователно тези оплаквания са допустими и разкриват нарушение на чл. 1 от </w:t>
      </w:r>
      <w:r w:rsidRPr="00216DDC">
        <w:rPr>
          <w:rFonts w:ascii="Times New Roman" w:eastAsia="PMingLiU" w:hAnsi="Times New Roman" w:cs="Times New Roman"/>
          <w:sz w:val="24"/>
          <w:szCs w:val="24"/>
        </w:rPr>
        <w:t>Протокол № 1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6DDC" w:rsidRPr="00216DDC" w:rsidRDefault="00216DDC" w:rsidP="00216DDC">
      <w:pPr>
        <w:keepNext/>
        <w:keepLines/>
        <w:numPr>
          <w:ilvl w:val="1"/>
          <w:numId w:val="0"/>
        </w:numPr>
        <w:spacing w:before="100" w:beforeAutospacing="1" w:after="240" w:line="240" w:lineRule="auto"/>
        <w:ind w:left="357" w:hanging="357"/>
        <w:outlineLvl w:val="1"/>
        <w:rPr>
          <w:rFonts w:ascii="Times New Roman" w:eastAsia="MS Gothic" w:hAnsi="Times New Roman" w:cs="Times New Roman"/>
          <w:bCs/>
          <w:caps/>
          <w:sz w:val="24"/>
          <w:szCs w:val="26"/>
        </w:rPr>
      </w:pPr>
      <w:r w:rsidRPr="00216DDC">
        <w:rPr>
          <w:rFonts w:ascii="Times New Roman" w:eastAsia="MS Gothic" w:hAnsi="Times New Roman" w:cs="Times New Roman"/>
          <w:bCs/>
          <w:caps/>
          <w:sz w:val="24"/>
          <w:szCs w:val="26"/>
        </w:rPr>
        <w:lastRenderedPageBreak/>
        <w:t>III. ПРИЛАГАНЕ НА ЧЛ. 41 ОТ КОНВЕНЦИЯТА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13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.  Чл. 41 от Конвенцията предвижда:</w:t>
      </w:r>
    </w:p>
    <w:p w:rsidR="00216DDC" w:rsidRPr="00216DDC" w:rsidRDefault="00216DDC" w:rsidP="00216DDC">
      <w:pPr>
        <w:keepNext/>
        <w:keepLines/>
        <w:spacing w:before="120" w:after="120" w:line="240" w:lineRule="auto"/>
        <w:ind w:left="425" w:firstLine="142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16DDC">
        <w:rPr>
          <w:rFonts w:ascii="Times New Roman" w:eastAsia="Times New Roman" w:hAnsi="Times New Roman" w:cs="Times New Roman"/>
          <w:sz w:val="20"/>
          <w:szCs w:val="24"/>
        </w:rPr>
        <w:t>„</w:t>
      </w:r>
      <w:r w:rsidRPr="00216DDC">
        <w:rPr>
          <w:rFonts w:ascii="Times New Roman" w:eastAsia="Times New Roman" w:hAnsi="Times New Roman" w:cs="Times New Roman"/>
          <w:sz w:val="20"/>
          <w:szCs w:val="20"/>
        </w:rPr>
        <w:t>Ако съдът уст</w:t>
      </w:r>
      <w:r w:rsidR="009A654B">
        <w:rPr>
          <w:rFonts w:ascii="Times New Roman" w:eastAsia="Times New Roman" w:hAnsi="Times New Roman" w:cs="Times New Roman"/>
          <w:sz w:val="20"/>
          <w:szCs w:val="20"/>
        </w:rPr>
        <w:t>анови, че е имало нарушение на К</w:t>
      </w:r>
      <w:r w:rsidRPr="00216DDC">
        <w:rPr>
          <w:rFonts w:ascii="Times New Roman" w:eastAsia="Times New Roman" w:hAnsi="Times New Roman" w:cs="Times New Roman"/>
          <w:sz w:val="20"/>
          <w:szCs w:val="20"/>
        </w:rPr>
        <w:t>онвенцията или на протоколите към</w:t>
      </w:r>
      <w:r w:rsidR="009A654B">
        <w:rPr>
          <w:rFonts w:ascii="Times New Roman" w:eastAsia="Times New Roman" w:hAnsi="Times New Roman" w:cs="Times New Roman"/>
          <w:sz w:val="20"/>
          <w:szCs w:val="20"/>
        </w:rPr>
        <w:t xml:space="preserve"> нея и ако вътрешното право на В</w:t>
      </w:r>
      <w:r w:rsidRPr="00216DDC">
        <w:rPr>
          <w:rFonts w:ascii="Times New Roman" w:eastAsia="Times New Roman" w:hAnsi="Times New Roman" w:cs="Times New Roman"/>
          <w:sz w:val="20"/>
          <w:szCs w:val="20"/>
        </w:rPr>
        <w:t xml:space="preserve">исокодоговарящата страна допуска само частично обезщетение за </w:t>
      </w:r>
      <w:r w:rsidR="009A654B">
        <w:rPr>
          <w:rFonts w:ascii="Times New Roman" w:eastAsia="Times New Roman" w:hAnsi="Times New Roman" w:cs="Times New Roman"/>
          <w:sz w:val="20"/>
          <w:szCs w:val="20"/>
        </w:rPr>
        <w:t>последиците от това нарушение, С</w:t>
      </w:r>
      <w:r w:rsidRPr="00216DDC">
        <w:rPr>
          <w:rFonts w:ascii="Times New Roman" w:eastAsia="Times New Roman" w:hAnsi="Times New Roman" w:cs="Times New Roman"/>
          <w:sz w:val="20"/>
          <w:szCs w:val="20"/>
        </w:rPr>
        <w:t xml:space="preserve">ъдът присъжда, ако е необходимо, справедливо </w:t>
      </w:r>
      <w:r w:rsidR="009A654B">
        <w:rPr>
          <w:rFonts w:ascii="Times New Roman" w:eastAsia="Times New Roman" w:hAnsi="Times New Roman" w:cs="Times New Roman"/>
          <w:sz w:val="20"/>
          <w:szCs w:val="20"/>
        </w:rPr>
        <w:t>обезщетение</w:t>
      </w:r>
      <w:r w:rsidRPr="00216DDC">
        <w:rPr>
          <w:rFonts w:ascii="Times New Roman" w:eastAsia="Times New Roman" w:hAnsi="Times New Roman" w:cs="Times New Roman"/>
          <w:sz w:val="20"/>
          <w:szCs w:val="20"/>
        </w:rPr>
        <w:t xml:space="preserve"> на потърпевшата страна.</w:t>
      </w:r>
      <w:r w:rsidRPr="00216DDC">
        <w:rPr>
          <w:rFonts w:ascii="Times New Roman" w:eastAsia="Times New Roman" w:hAnsi="Times New Roman" w:cs="Times New Roman"/>
          <w:sz w:val="20"/>
          <w:szCs w:val="24"/>
        </w:rPr>
        <w:t>“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14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.  По отношение на имуществените вреди вси</w:t>
      </w:r>
      <w:r w:rsidR="00542F5C">
        <w:rPr>
          <w:rFonts w:ascii="Times New Roman" w:eastAsia="Times New Roman" w:hAnsi="Times New Roman" w:cs="Times New Roman"/>
          <w:sz w:val="24"/>
          <w:szCs w:val="24"/>
        </w:rPr>
        <w:t>чки жалбоподатели претендират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 стойността на отнетото им имущество. Те представят различни документи в подкрепа на тези претенции, включително оценки на имуществото.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\* MERGEFORMAT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15</w:t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.  Жалбоподателите по жалба № 38398/11 </w:t>
      </w:r>
      <w:r w:rsidR="00542F5C">
        <w:rPr>
          <w:rFonts w:ascii="Times New Roman" w:eastAsia="Times New Roman" w:hAnsi="Times New Roman" w:cs="Times New Roman"/>
          <w:sz w:val="24"/>
          <w:szCs w:val="24"/>
        </w:rPr>
        <w:t xml:space="preserve">посочват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като алтернативен вариант</w:t>
      </w:r>
      <w:r w:rsidR="00542F5C">
        <w:rPr>
          <w:rFonts w:ascii="Times New Roman" w:eastAsia="Times New Roman" w:hAnsi="Times New Roman" w:cs="Times New Roman"/>
          <w:sz w:val="24"/>
          <w:szCs w:val="24"/>
        </w:rPr>
        <w:t xml:space="preserve"> възможността Съдът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 да уведоми </w:t>
      </w:r>
      <w:r w:rsidR="00542F5C">
        <w:rPr>
          <w:rFonts w:ascii="Times New Roman" w:eastAsia="Times New Roman" w:hAnsi="Times New Roman" w:cs="Times New Roman"/>
          <w:sz w:val="24"/>
          <w:szCs w:val="24"/>
        </w:rPr>
        <w:t>страните, че националните съдилища могат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 да възобновят вътрешното производство и да преразгледат твърденията за отнемане в съответствие с изискванията на чл. 1 от Протокол № 1. От друга страна, жалбоподателите по жалба № 59983/12 настояват Съдът да не предприема този подход. Те твърдят, че подобен процесуален път би бил неефективен, по-специално защото повторното разглеждане на делото на национално ниво би било продължително и скъпо.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\* MERGEFORMAT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16</w:t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.  Правителството настоява Съдът да отхвърли исковете за имуществени вреди.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\* MERGEFORMAT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17</w:t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.  Съдът не е в позиция да прави предположения дали конфискуваното имущество на жалбоподателите е било или не е било придобито от престъпна дейност, а именно дали отнемането е </w:t>
      </w:r>
      <w:r w:rsidR="008D5F96">
        <w:rPr>
          <w:rFonts w:ascii="Times New Roman" w:eastAsia="Times New Roman" w:hAnsi="Times New Roman" w:cs="Times New Roman"/>
          <w:sz w:val="24"/>
          <w:szCs w:val="24"/>
        </w:rPr>
        <w:t xml:space="preserve">било или не е било оправдано, или изобщо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относно възможния изход от производството за конфискация, ако са били изпълнени изискванията на чл. 1 от Протокол № 1. Поради това Съдът не може да определи евентуалните имуществени вреди, които жалбоподателите биха могли да претърпят в резултат на необоснованото отнемане на имуществото. Съответно Съдът отхвърля претенциите на жалбоподателите по отношение на имуществени вреди и още веднъж посочва, както и в делото </w:t>
      </w:r>
      <w:r w:rsidRPr="00216D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Тодоров и други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(цитирано по-горе, §§ 320</w:t>
      </w:r>
      <w:r w:rsidR="008D5F9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22), че най-подходящото средство за отстраняване на нарушението е възобновяването на вътрешното производство и повторното разглеждане на въпроса от националните съдилища в съответствие с изискванията на чл. 1 от Протокол № 1.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\* MERGEFORMAT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18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.  Що се отнася до неимуществените вреди, жалбоподателите претендират за обезщетение в размер между 5000 и 40 000 евро (EUR). Съдът, като взема предвид обстоятелствата по делото, им присъжда сумите, посочени в приложената таблица. </w:t>
      </w:r>
    </w:p>
    <w:p w:rsidR="00216DDC" w:rsidRPr="00216DDC" w:rsidRDefault="00216DDC" w:rsidP="00216DD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instrText xml:space="preserve"> SEQ level0 \*arabic \* MERGEFORMAT </w:instrTex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16DDC">
        <w:rPr>
          <w:rFonts w:ascii="Times New Roman" w:eastAsia="Times New Roman" w:hAnsi="Times New Roman" w:cs="Times New Roman"/>
          <w:noProof/>
          <w:sz w:val="24"/>
          <w:szCs w:val="24"/>
        </w:rPr>
        <w:t>19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.  Що се отнася до исканията на жалбоподателите за разноски, Съдът отбелязва, че още при комуникирането на жалбите на Правителството е обърнал</w:t>
      </w:r>
      <w:r w:rsidR="009A654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 внимание на жалбоподателите, че може да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следва подхода, възприет по делото </w:t>
      </w:r>
      <w:r w:rsidRPr="00216DD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Тодоров и други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(цитирано по-горе). Както беше споменато, по това дело той отхвърля претенциите на жалбоподателите за имуществени вреди и им дава указания да поискат повторно разглеждане на делата си на национално ниво. При това положение Съдът намира, че разходите, направени по жалби № 38398/11 и № 59983/12 за оценка на конфискуваното имущество на жалбоподателите, са били ненужни.  Що се отнася до останалите групи разходи и разноски, Съдът, като взема предвид обстоятелствата по делото и по-специално неговия повтарящ се характер, намира за уместно да присъди сумите, посочени в приложената таблица.</w:t>
      </w:r>
    </w:p>
    <w:p w:rsidR="00216DDC" w:rsidRPr="00216DDC" w:rsidRDefault="00216DDC" w:rsidP="00216DDC">
      <w:pPr>
        <w:keepNext/>
        <w:keepLines/>
        <w:spacing w:before="100" w:beforeAutospacing="1" w:after="240" w:line="240" w:lineRule="auto"/>
        <w:ind w:left="360"/>
        <w:outlineLvl w:val="0"/>
        <w:rPr>
          <w:rFonts w:ascii="Times New Roman" w:eastAsia="MS Gothic" w:hAnsi="Times New Roman" w:cs="Times New Roman"/>
          <w:bCs/>
          <w:caps/>
          <w:sz w:val="28"/>
          <w:szCs w:val="28"/>
        </w:rPr>
      </w:pPr>
      <w:r w:rsidRPr="00216DDC">
        <w:rPr>
          <w:rFonts w:ascii="Times New Roman" w:eastAsia="MS Gothic" w:hAnsi="Times New Roman" w:cs="Times New Roman"/>
          <w:bCs/>
          <w:caps/>
          <w:sz w:val="28"/>
          <w:szCs w:val="28"/>
        </w:rPr>
        <w:t>ПО ТЕЗИ СЪОБРАЖЕНИЯ СЪДЪТ ЕДИНОДУШНО</w:t>
      </w:r>
      <w:r w:rsidRPr="00216DDC">
        <w:rPr>
          <w:rFonts w:ascii="Times New Roman" w:eastAsia="MS Gothic" w:hAnsi="Times New Roman" w:cs="Times New Roman"/>
          <w:bCs/>
          <w:caps/>
          <w:color w:val="000000"/>
          <w:sz w:val="28"/>
          <w:szCs w:val="28"/>
        </w:rPr>
        <w:t>,</w:t>
      </w:r>
    </w:p>
    <w:p w:rsidR="00216DDC" w:rsidRPr="00216DDC" w:rsidRDefault="00216DDC" w:rsidP="00216DDC">
      <w:pPr>
        <w:keepNext/>
        <w:keepLines/>
        <w:numPr>
          <w:ilvl w:val="0"/>
          <w:numId w:val="1"/>
        </w:numPr>
        <w:spacing w:before="280"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i/>
          <w:sz w:val="24"/>
          <w:szCs w:val="24"/>
        </w:rPr>
        <w:t xml:space="preserve">Решава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да обедини жалбите;</w:t>
      </w:r>
    </w:p>
    <w:p w:rsidR="00216DDC" w:rsidRPr="00216DDC" w:rsidRDefault="00216DDC" w:rsidP="00216DDC">
      <w:pPr>
        <w:keepNext/>
        <w:keepLines/>
        <w:numPr>
          <w:ilvl w:val="0"/>
          <w:numId w:val="1"/>
        </w:numPr>
        <w:spacing w:before="280"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Обявява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жалбите за допустими;</w:t>
      </w:r>
    </w:p>
    <w:p w:rsidR="00216DDC" w:rsidRPr="00216DDC" w:rsidRDefault="00216DDC" w:rsidP="00216DDC">
      <w:pPr>
        <w:numPr>
          <w:ilvl w:val="0"/>
          <w:numId w:val="1"/>
        </w:numPr>
        <w:spacing w:before="280" w:after="6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Приема,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че </w:t>
      </w:r>
      <w:r w:rsidRPr="00216DDC">
        <w:rPr>
          <w:rFonts w:ascii="Times New Roman" w:eastAsia="PMingLiU" w:hAnsi="Times New Roman" w:cs="Times New Roman"/>
          <w:sz w:val="24"/>
          <w:szCs w:val="24"/>
        </w:rPr>
        <w:t xml:space="preserve">тези жалби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разкриват нарушение на чл. 1 от </w:t>
      </w:r>
      <w:r w:rsidRPr="00216DDC">
        <w:rPr>
          <w:rFonts w:ascii="Times New Roman" w:eastAsia="PMingLiU" w:hAnsi="Times New Roman" w:cs="Times New Roman"/>
          <w:sz w:val="24"/>
          <w:szCs w:val="24"/>
        </w:rPr>
        <w:t xml:space="preserve">Протокол № 1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относно отнемането на имущество, предполагаемо придобито от престъпна дейност</w:t>
      </w:r>
      <w:r w:rsidRPr="00216DDC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216DDC" w:rsidRPr="00216DDC" w:rsidRDefault="008D5F96" w:rsidP="00216DDC">
      <w:pPr>
        <w:numPr>
          <w:ilvl w:val="0"/>
          <w:numId w:val="1"/>
        </w:numPr>
        <w:spacing w:before="280" w:after="6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Постановява</w:t>
      </w:r>
    </w:p>
    <w:p w:rsidR="00216DDC" w:rsidRPr="00216DDC" w:rsidRDefault="00216DDC" w:rsidP="00216DDC">
      <w:pPr>
        <w:numPr>
          <w:ilvl w:val="1"/>
          <w:numId w:val="0"/>
        </w:numPr>
        <w:tabs>
          <w:tab w:val="num" w:pos="6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 xml:space="preserve">(а) Държавата ответник да изплати на жалбоподателите в срок от три месеца сумите, посочени в приложената таблица, които да бъдат конвертирани във </w:t>
      </w:r>
      <w:r w:rsidRPr="00216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валутата на държавата ответник по 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курса, приложим към датата на уреждане на спора;</w:t>
      </w:r>
    </w:p>
    <w:p w:rsidR="00216DDC" w:rsidRPr="00216DDC" w:rsidRDefault="00216DDC" w:rsidP="00216DDC">
      <w:pPr>
        <w:numPr>
          <w:ilvl w:val="1"/>
          <w:numId w:val="0"/>
        </w:numPr>
        <w:tabs>
          <w:tab w:val="num" w:pos="680"/>
        </w:tabs>
        <w:spacing w:after="0" w:line="240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>(б) че от изтичането на гореспоменатите три месеца до уреждането на спора се дължи проста лихва върху горепосочените суми в размер, равен на пределния лихвен процент по заеми на Европейската централна банка през периода на неизпълнение плюс три процентни пункта;</w:t>
      </w:r>
    </w:p>
    <w:p w:rsidR="00216DDC" w:rsidRPr="00216DDC" w:rsidRDefault="00216DDC" w:rsidP="00216DDC">
      <w:pPr>
        <w:numPr>
          <w:ilvl w:val="0"/>
          <w:numId w:val="1"/>
        </w:numPr>
        <w:spacing w:before="28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Отхвърля </w:t>
      </w:r>
      <w:r w:rsidRPr="00216DDC">
        <w:rPr>
          <w:rFonts w:ascii="Times New Roman" w:eastAsia="Times New Roman" w:hAnsi="Times New Roman" w:cs="Times New Roman"/>
          <w:spacing w:val="-2"/>
          <w:sz w:val="24"/>
          <w:szCs w:val="24"/>
        </w:rPr>
        <w:t>останалата част от исканията на жалбоподателите за справедливо обезщетение.</w:t>
      </w:r>
    </w:p>
    <w:p w:rsidR="00216DDC" w:rsidRPr="00216DDC" w:rsidRDefault="00216DDC" w:rsidP="00216DDC">
      <w:pPr>
        <w:keepNext/>
        <w:keepLines/>
        <w:spacing w:before="240" w:after="24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sz w:val="24"/>
          <w:szCs w:val="24"/>
        </w:rPr>
        <w:t>Изготвено на английски език и обявено в писмена форма на 9 февруари 2023 г. съгласно правило 77 §§ 2 и 3 от Правилника на Съда.</w:t>
      </w:r>
    </w:p>
    <w:p w:rsidR="00216DDC" w:rsidRDefault="00216DDC" w:rsidP="00216DDC">
      <w:pPr>
        <w:tabs>
          <w:tab w:val="center" w:pos="1418"/>
          <w:tab w:val="center" w:pos="5954"/>
        </w:tabs>
        <w:spacing w:before="720" w:after="0" w:line="240" w:lineRule="auto"/>
        <w:rPr>
          <w:rFonts w:ascii="Times New Roman" w:eastAsia="PMingLiU" w:hAnsi="Times New Roman" w:cs="Times New Roman"/>
          <w:sz w:val="24"/>
          <w:szCs w:val="24"/>
        </w:rPr>
        <w:sectPr w:rsidR="00216DDC" w:rsidSect="00774B7A">
          <w:headerReference w:type="even" r:id="rId12"/>
          <w:headerReference w:type="default" r:id="rId13"/>
          <w:footnotePr>
            <w:numRestart w:val="eachPage"/>
          </w:footnotePr>
          <w:endnotePr>
            <w:numFmt w:val="decimal"/>
          </w:endnotePr>
          <w:type w:val="oddPage"/>
          <w:pgSz w:w="11906" w:h="16838" w:code="9"/>
          <w:pgMar w:top="2274" w:right="2274" w:bottom="2274" w:left="2274" w:header="1701" w:footer="720" w:gutter="0"/>
          <w:pgNumType w:start="1"/>
          <w:cols w:space="720"/>
          <w:docGrid w:linePitch="326"/>
        </w:sectPr>
      </w:pPr>
      <w:r w:rsidRPr="00216DDC">
        <w:rPr>
          <w:rFonts w:ascii="Times New Roman" w:eastAsia="PMingLiU" w:hAnsi="Times New Roman" w:cs="Times New Roman"/>
          <w:color w:val="FFFFFF"/>
          <w:sz w:val="24"/>
          <w:szCs w:val="24"/>
        </w:rPr>
        <w:tab/>
      </w:r>
      <w:r w:rsidRPr="00216DDC">
        <w:rPr>
          <w:rFonts w:ascii="Times New Roman" w:eastAsia="PMingLiU" w:hAnsi="Times New Roman" w:cs="Times New Roman"/>
          <w:sz w:val="24"/>
          <w:szCs w:val="24"/>
        </w:rPr>
        <w:t>Виктория Марадудина</w:t>
      </w:r>
      <w:r w:rsidRPr="00216DDC">
        <w:rPr>
          <w:rFonts w:ascii="Times New Roman" w:eastAsia="PMingLiU" w:hAnsi="Times New Roman" w:cs="Times New Roman"/>
          <w:sz w:val="24"/>
          <w:szCs w:val="24"/>
        </w:rPr>
        <w:tab/>
        <w:t>Дариан Павли</w:t>
      </w:r>
      <w:r w:rsidRPr="00216DDC">
        <w:rPr>
          <w:rFonts w:ascii="Times New Roman" w:eastAsia="PMingLiU" w:hAnsi="Times New Roman" w:cs="Times New Roman"/>
          <w:sz w:val="24"/>
          <w:szCs w:val="24"/>
        </w:rPr>
        <w:br/>
      </w:r>
      <w:r w:rsidRPr="00216DDC">
        <w:rPr>
          <w:rFonts w:ascii="Times New Roman" w:eastAsia="Times New Roman" w:hAnsi="Times New Roman" w:cs="Times New Roman"/>
          <w:sz w:val="24"/>
          <w:szCs w:val="24"/>
        </w:rPr>
        <w:t>(Viktoriya Maradudina)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tab/>
        <w:t>(Darian Pavli)</w:t>
      </w:r>
      <w:r w:rsidRPr="00216DDC">
        <w:rPr>
          <w:rFonts w:ascii="Times New Roman" w:eastAsia="Times New Roman" w:hAnsi="Times New Roman" w:cs="Times New Roman"/>
          <w:sz w:val="24"/>
          <w:szCs w:val="24"/>
        </w:rPr>
        <w:br/>
      </w:r>
      <w:r w:rsidRPr="00216DDC">
        <w:rPr>
          <w:rFonts w:ascii="Times New Roman" w:eastAsia="PMingLiU" w:hAnsi="Times New Roman" w:cs="Times New Roman"/>
          <w:sz w:val="24"/>
          <w:szCs w:val="24"/>
        </w:rPr>
        <w:t>И.д. заместник-секретар</w:t>
      </w:r>
      <w:r w:rsidRPr="00216DDC">
        <w:rPr>
          <w:rFonts w:ascii="Times New Roman" w:eastAsia="PMingLiU" w:hAnsi="Times New Roman" w:cs="Times New Roman"/>
          <w:sz w:val="24"/>
          <w:szCs w:val="24"/>
        </w:rPr>
        <w:tab/>
        <w:t>Председател</w:t>
      </w:r>
    </w:p>
    <w:p w:rsidR="00216DDC" w:rsidRPr="00216DDC" w:rsidRDefault="00216DDC" w:rsidP="00216DDC">
      <w:pPr>
        <w:keepNext/>
        <w:keepLines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216DDC">
        <w:rPr>
          <w:rFonts w:ascii="Times New Roman" w:eastAsia="Times New Roman" w:hAnsi="Times New Roman" w:cs="Times New Roman"/>
          <w:sz w:val="28"/>
          <w:szCs w:val="24"/>
        </w:rPr>
        <w:t>ПРИЛОЖЕНИЕ</w:t>
      </w:r>
    </w:p>
    <w:p w:rsidR="00216DDC" w:rsidRPr="00216DDC" w:rsidRDefault="00216DDC" w:rsidP="00216DDC">
      <w:pPr>
        <w:keepNext/>
        <w:keepLines/>
        <w:spacing w:after="280" w:line="240" w:lineRule="auto"/>
        <w:contextualSpacing/>
        <w:jc w:val="center"/>
        <w:rPr>
          <w:rFonts w:ascii="Times New Roman" w:eastAsia="Times New Roman" w:hAnsi="Times New Roman" w:cs="Times New Roman"/>
          <w:color w:val="3E3E3E"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color w:val="3E3E3E"/>
          <w:sz w:val="24"/>
          <w:szCs w:val="24"/>
        </w:rPr>
        <w:t>Списък на жалбите по чл. 1 от Протокол № 1</w:t>
      </w:r>
    </w:p>
    <w:p w:rsidR="00216DDC" w:rsidRPr="00216DDC" w:rsidRDefault="00216DDC" w:rsidP="00216DDC">
      <w:pPr>
        <w:keepNext/>
        <w:keepLines/>
        <w:spacing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6DDC">
        <w:rPr>
          <w:rFonts w:ascii="Times New Roman" w:eastAsia="Times New Roman" w:hAnsi="Times New Roman" w:cs="Times New Roman"/>
          <w:color w:val="3E3E3E"/>
          <w:sz w:val="24"/>
          <w:szCs w:val="24"/>
        </w:rPr>
        <w:t>(отнемане на имущество, предполагаемо придобито от престъпна дейност)</w:t>
      </w:r>
    </w:p>
    <w:tbl>
      <w:tblPr>
        <w:tblStyle w:val="ECHRListTable"/>
        <w:tblW w:w="15730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1134"/>
        <w:gridCol w:w="1276"/>
        <w:gridCol w:w="1418"/>
        <w:gridCol w:w="1701"/>
        <w:gridCol w:w="1139"/>
        <w:gridCol w:w="2404"/>
        <w:gridCol w:w="2552"/>
        <w:gridCol w:w="1276"/>
        <w:gridCol w:w="1275"/>
        <w:gridCol w:w="993"/>
      </w:tblGrid>
      <w:tr w:rsidR="00216DDC" w:rsidRPr="00216DDC" w:rsidTr="00D74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5"/>
          <w:jc w:val="center"/>
        </w:trPr>
        <w:tc>
          <w:tcPr>
            <w:tcW w:w="562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bookmarkStart w:id="2" w:name="WECLListStart"/>
            <w:bookmarkEnd w:id="2"/>
            <w:r w:rsidRPr="00216DDC">
              <w:rPr>
                <w:rFonts w:ascii="Times New Roman" w:eastAsia="Times New Roman" w:hAnsi="Times New Roman" w:cs="Times New Roman"/>
                <w:sz w:val="16"/>
              </w:rPr>
              <w:t>№</w:t>
            </w:r>
          </w:p>
        </w:tc>
        <w:tc>
          <w:tcPr>
            <w:tcW w:w="1134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  <w:lang w:val="en-GB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Жалба</w:t>
            </w:r>
            <w:r w:rsidRPr="00216DDC">
              <w:rPr>
                <w:rFonts w:ascii="Times New Roman" w:eastAsia="Times New Roman" w:hAnsi="Times New Roman" w:cs="Times New Roman"/>
                <w:sz w:val="16"/>
                <w:lang w:val="en-GB"/>
              </w:rPr>
              <w:t xml:space="preserve"> №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Дата на подаване</w:t>
            </w:r>
          </w:p>
        </w:tc>
        <w:tc>
          <w:tcPr>
            <w:tcW w:w="1276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Име на жалбоподателя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Година на раждане/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 xml:space="preserve">регистрация 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Име на представителя и място на практикуване</w:t>
            </w:r>
          </w:p>
        </w:tc>
        <w:tc>
          <w:tcPr>
            <w:tcW w:w="1701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Предикатно престъпление</w:t>
            </w:r>
          </w:p>
        </w:tc>
        <w:tc>
          <w:tcPr>
            <w:tcW w:w="1139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 xml:space="preserve">Период, за който са проверени доходите и разходите на жалбоподателя </w:t>
            </w:r>
          </w:p>
        </w:tc>
        <w:tc>
          <w:tcPr>
            <w:tcW w:w="2404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Отнето имущество</w:t>
            </w:r>
          </w:p>
        </w:tc>
        <w:tc>
          <w:tcPr>
            <w:tcW w:w="2552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Причини, посочени от съдилищата</w:t>
            </w:r>
          </w:p>
        </w:tc>
        <w:tc>
          <w:tcPr>
            <w:tcW w:w="1276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 xml:space="preserve">Окончателно решение по процедурата за отнемане </w:t>
            </w:r>
          </w:p>
        </w:tc>
        <w:tc>
          <w:tcPr>
            <w:tcW w:w="1275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Сума, присъдена за неимуществени вреди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(в евро)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id="1"/>
            </w:r>
          </w:p>
        </w:tc>
        <w:tc>
          <w:tcPr>
            <w:tcW w:w="993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Присъдена сума за разходи и разноски (в евро)</w:t>
            </w:r>
            <w:r w:rsidRPr="00216DDC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id="2"/>
            </w:r>
          </w:p>
        </w:tc>
      </w:tr>
      <w:tr w:rsidR="00216DDC" w:rsidRPr="00216DDC" w:rsidTr="00D74F76">
        <w:trPr>
          <w:trHeight w:val="3460"/>
          <w:jc w:val="center"/>
        </w:trPr>
        <w:tc>
          <w:tcPr>
            <w:tcW w:w="562" w:type="dxa"/>
          </w:tcPr>
          <w:p w:rsidR="00216DDC" w:rsidRPr="00216DDC" w:rsidRDefault="00216DDC" w:rsidP="00216DDC">
            <w:pPr>
              <w:rPr>
                <w:rFonts w:ascii="Times New Roman" w:eastAsia="MS Mincho" w:hAnsi="Times New Roman" w:cs="Times New Roman"/>
                <w:sz w:val="16"/>
              </w:rPr>
            </w:pPr>
            <w:r w:rsidRPr="00216DDC">
              <w:rPr>
                <w:rFonts w:ascii="Times New Roman" w:eastAsia="MS Mincho" w:hAnsi="Times New Roman" w:cs="Times New Roman"/>
                <w:sz w:val="16"/>
              </w:rPr>
              <w:t xml:space="preserve">1. </w:t>
            </w:r>
          </w:p>
        </w:tc>
        <w:tc>
          <w:tcPr>
            <w:tcW w:w="1134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38398/11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06.06.2011 г.</w:t>
            </w:r>
          </w:p>
        </w:tc>
        <w:tc>
          <w:tcPr>
            <w:tcW w:w="1276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b/>
                <w:sz w:val="16"/>
              </w:rPr>
              <w:t>Добрин Николов ШОПОВ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1960 г.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b/>
                <w:sz w:val="16"/>
              </w:rPr>
              <w:t>Марийка Митева ШОПОВА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1966 г.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Емилия Недева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гр. Пловдив</w:t>
            </w:r>
          </w:p>
        </w:tc>
        <w:tc>
          <w:tcPr>
            <w:tcW w:w="1701" w:type="dxa"/>
          </w:tcPr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 xml:space="preserve">Окончателно решение на Окръжен съд – Сливен от 2 юли 2007 г.: първият жалбоподател е осъден за сводничество и принуда, престъпления, извършени между 2001 и 2005 г.; осъден е на 11 месеца лишаване от свобода и глоба. </w:t>
            </w:r>
          </w:p>
        </w:tc>
        <w:tc>
          <w:tcPr>
            <w:tcW w:w="1139" w:type="dxa"/>
          </w:tcPr>
          <w:p w:rsidR="00216DDC" w:rsidRPr="00216DDC" w:rsidRDefault="00216DDC" w:rsidP="00216DD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1 януари 1982 г. - 31 декември 2006 г.</w:t>
            </w:r>
          </w:p>
        </w:tc>
        <w:tc>
          <w:tcPr>
            <w:tcW w:w="2404" w:type="dxa"/>
          </w:tcPr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Половин апартамент, къща с парцел в гр. Сливен, закупени през 1999 г.; земеделска земя в района на гр. Сливен, закупена през 2006 г.; автомобил; парични суми, получени от продажбата на недвижими имоти и автомобили; парични средства в банкови сметки на първия жалбоподател.</w:t>
            </w:r>
          </w:p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 xml:space="preserve">По данни на Комисията за </w:t>
            </w:r>
            <w:r w:rsidR="008D5F96">
              <w:rPr>
                <w:rFonts w:ascii="Times New Roman" w:eastAsia="Times New Roman" w:hAnsi="Times New Roman" w:cs="Times New Roman"/>
                <w:sz w:val="16"/>
              </w:rPr>
              <w:t>установяване на имущество, придобито от престъпна дейност,</w:t>
            </w:r>
            <w:r w:rsidRPr="00216DDC">
              <w:rPr>
                <w:rFonts w:ascii="Times New Roman" w:eastAsia="Times New Roman" w:hAnsi="Times New Roman" w:cs="Times New Roman"/>
                <w:sz w:val="16"/>
              </w:rPr>
              <w:t xml:space="preserve"> общата стойност на горепосочените активи е 329 770 лева (167 000 евро).</w:t>
            </w:r>
          </w:p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52" w:type="dxa"/>
          </w:tcPr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Първият жалбоподател не е имал декларирани трудови правоотношения и доходи през периода; вторият жалбоподател е бил нает на работа общо около 7 години.</w:t>
            </w:r>
          </w:p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Първият жалбоподател е пътувал често в чужбина. Жалбоподателите са направили значителни разходи - ежедневни, за пътуване и за придобиване на имущество.</w:t>
            </w:r>
          </w:p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Жалбоподателите твърдят, че са получили заеми от частни лица; това обаче не е достатъчно доказано, а освен това те трябва да докажат, че са върнали заемите със законни доходи; освен това е трудно да се приеме, че през целия период жалбоподателите са живели от заеми.</w:t>
            </w:r>
          </w:p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Не е било необходимо да се установява причинно-следствена връзка между престъпната дейност и имуществото, подлежащо на отнемане, тъй като ответниците не са доказали законния произход на това имущество.</w:t>
            </w:r>
          </w:p>
        </w:tc>
        <w:tc>
          <w:tcPr>
            <w:tcW w:w="1276" w:type="dxa"/>
          </w:tcPr>
          <w:p w:rsidR="00216DDC" w:rsidRPr="00216DDC" w:rsidRDefault="00216DDC" w:rsidP="00216DD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31 януари 2011 г. - решение на Върховния касационен съд</w:t>
            </w:r>
          </w:p>
        </w:tc>
        <w:tc>
          <w:tcPr>
            <w:tcW w:w="1275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3 000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на жалбоподател</w:t>
            </w:r>
          </w:p>
        </w:tc>
        <w:tc>
          <w:tcPr>
            <w:tcW w:w="993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2 000</w:t>
            </w:r>
          </w:p>
        </w:tc>
      </w:tr>
      <w:tr w:rsidR="00216DDC" w:rsidRPr="00216DDC" w:rsidTr="00D74F76">
        <w:trPr>
          <w:trHeight w:val="3816"/>
          <w:jc w:val="center"/>
        </w:trPr>
        <w:tc>
          <w:tcPr>
            <w:tcW w:w="562" w:type="dxa"/>
          </w:tcPr>
          <w:p w:rsidR="00216DDC" w:rsidRPr="00216DDC" w:rsidRDefault="00216DDC" w:rsidP="00216DD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59983/12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03/09/2012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(4 жалбоподатели)</w:t>
            </w:r>
          </w:p>
        </w:tc>
        <w:tc>
          <w:tcPr>
            <w:tcW w:w="1276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b/>
                <w:sz w:val="16"/>
              </w:rPr>
              <w:t>Стоян Траянов КРЪСТЕВ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1966 г.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b/>
                <w:sz w:val="16"/>
              </w:rPr>
              <w:t>Светослав Стоянов КРЪСТЕВ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1986 г.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ФЛАМИНГО-585 ЕООД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1995 г.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b/>
                <w:sz w:val="16"/>
              </w:rPr>
              <w:t xml:space="preserve"> ФЛАМИНГО - 1 ЕООД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2001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18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Михаил Екимджиев, Катина Бончева, Снежана Стефанова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гр. Пловдив</w:t>
            </w:r>
          </w:p>
        </w:tc>
        <w:tc>
          <w:tcPr>
            <w:tcW w:w="1701" w:type="dxa"/>
          </w:tcPr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Окончателно решение на Върховния касационен съд от 4 октомври 2006 г.: първият жалбоподател е осъден за незаконно притежание на големи количества наркотици с цел продажба. Престъплението е извършено през м. февруари 1999 г.</w:t>
            </w:r>
          </w:p>
        </w:tc>
        <w:tc>
          <w:tcPr>
            <w:tcW w:w="1139" w:type="dxa"/>
          </w:tcPr>
          <w:p w:rsidR="00216DDC" w:rsidRPr="00216DDC" w:rsidRDefault="00216DDC" w:rsidP="00216DD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25 ноември 1984 г. - 16 май 2002 г.</w:t>
            </w:r>
          </w:p>
        </w:tc>
        <w:tc>
          <w:tcPr>
            <w:tcW w:w="2404" w:type="dxa"/>
          </w:tcPr>
          <w:p w:rsidR="00216DDC" w:rsidRPr="00216DDC" w:rsidRDefault="00216DDC" w:rsidP="00836EEF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 xml:space="preserve">Няколко апартамента и къщи в гр. Перник и гр. София, сгради с промишлено и търговско предназначение, парцели, няколко автомобила, дялове на първия жалбоподател в дружествата жалбоподатели, парични суми от продажбата на други недвижими имоти, автомобили и дялове в дружества. Според Комисията </w:t>
            </w:r>
            <w:r w:rsidR="008D5F96">
              <w:rPr>
                <w:rFonts w:ascii="Times New Roman" w:eastAsia="Times New Roman" w:hAnsi="Times New Roman" w:cs="Times New Roman"/>
                <w:sz w:val="16"/>
              </w:rPr>
              <w:t>за установяване на имущество</w:t>
            </w:r>
            <w:r w:rsidR="00836EEF">
              <w:rPr>
                <w:rFonts w:ascii="Times New Roman" w:eastAsia="Times New Roman" w:hAnsi="Times New Roman" w:cs="Times New Roman"/>
                <w:sz w:val="16"/>
              </w:rPr>
              <w:t>, придобито от престъпна дейност,</w:t>
            </w:r>
            <w:r w:rsidR="008D5F96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Pr="00216DDC">
              <w:rPr>
                <w:rFonts w:ascii="Times New Roman" w:eastAsia="Times New Roman" w:hAnsi="Times New Roman" w:cs="Times New Roman"/>
                <w:sz w:val="16"/>
              </w:rPr>
              <w:t>общата стойност на тези активи е 977 857 лева (500 180 евро).</w:t>
            </w:r>
          </w:p>
        </w:tc>
        <w:tc>
          <w:tcPr>
            <w:tcW w:w="2552" w:type="dxa"/>
          </w:tcPr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През разглеждания период жалбоподателите са имали доходи, равняващи се на 2 152 минимални месечни заплати, докато разходите им, включително за придобиване на имущество, са се равнявали на 18 244 минимални месечни заплати.</w:t>
            </w:r>
          </w:p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Жалбоподателите твърдят, че са получили заеми и доходи от хазарт, но това не е достатъчно доказано. Освен това заемите трябвало да бъдат върнати, а жалбоподателите не са имали законни доходи за тази цел.</w:t>
            </w:r>
          </w:p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Съгласно чл. 4 от Закона от 2005 г. недоказването на законния произход на имуществото, чието отнемане се иска, означава, че това имущество е придобито от престъпна дейност.</w:t>
            </w:r>
          </w:p>
        </w:tc>
        <w:tc>
          <w:tcPr>
            <w:tcW w:w="1276" w:type="dxa"/>
          </w:tcPr>
          <w:p w:rsidR="00216DDC" w:rsidRPr="00216DDC" w:rsidRDefault="00216DDC" w:rsidP="00216DD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Окончателно решение на Върховния касационен съд от 27 март 2012 г.</w:t>
            </w:r>
          </w:p>
        </w:tc>
        <w:tc>
          <w:tcPr>
            <w:tcW w:w="1275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3 000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на жалбоподател - физическо лице</w:t>
            </w:r>
          </w:p>
        </w:tc>
        <w:tc>
          <w:tcPr>
            <w:tcW w:w="993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2 000</w:t>
            </w:r>
          </w:p>
        </w:tc>
      </w:tr>
      <w:tr w:rsidR="00216DDC" w:rsidRPr="00216DDC" w:rsidTr="00D74F76">
        <w:trPr>
          <w:trHeight w:val="3272"/>
          <w:jc w:val="center"/>
        </w:trPr>
        <w:tc>
          <w:tcPr>
            <w:tcW w:w="562" w:type="dxa"/>
          </w:tcPr>
          <w:p w:rsidR="00216DDC" w:rsidRPr="00216DDC" w:rsidRDefault="00216DDC" w:rsidP="00216DD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134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16753/18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28.03.2018 г.</w:t>
            </w:r>
          </w:p>
        </w:tc>
        <w:tc>
          <w:tcPr>
            <w:tcW w:w="1276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b/>
                <w:sz w:val="16"/>
              </w:rPr>
              <w:t>Светлана Андреева НЕНКОВА</w:t>
            </w: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1981 г.</w:t>
            </w:r>
          </w:p>
        </w:tc>
        <w:tc>
          <w:tcPr>
            <w:tcW w:w="1418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701" w:type="dxa"/>
          </w:tcPr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Споразумение за признаване на вина, одобрено от Окръжен съд – Разград на 21 януари 2009 г. - бившият съпруг на жалбоподателката е осъден за трафик на наркотици, извършен през 2008 г.</w:t>
            </w:r>
          </w:p>
        </w:tc>
        <w:tc>
          <w:tcPr>
            <w:tcW w:w="1139" w:type="dxa"/>
          </w:tcPr>
          <w:p w:rsidR="00216DDC" w:rsidRPr="00216DDC" w:rsidRDefault="00216DDC" w:rsidP="00216DDC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1991-2010 г. (относно бившия съпруг на жалбоподателката); той и жалбоподателката сключват брак през 2002 г.</w:t>
            </w:r>
          </w:p>
          <w:p w:rsidR="00216DDC" w:rsidRPr="00216DDC" w:rsidRDefault="00216DDC" w:rsidP="00216DDC">
            <w:pPr>
              <w:keepNext/>
              <w:keepLines/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4" w:type="dxa"/>
          </w:tcPr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Апартамент във гр. Варна, закупен от жалбоподателката и бившия ѝ съпруг през 2003 г. за 161 500 лева (82 600 евро); по думи на жалбоподателката първоначалната вноска от 68 000 лева е направена със собствени средства, а останалата част е осигурена чрез банков кредит, който тя сама изплаща.</w:t>
            </w:r>
          </w:p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След развода през 2006 г. жалбоподателката живее в апартамента заедно с децата си. През 2016 г. тя получава съдебно решение, с което е призната за единствен собственик.</w:t>
            </w:r>
          </w:p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През 2019 г. апартаментът е обявен от държавата за публична продажба.</w:t>
            </w:r>
          </w:p>
        </w:tc>
        <w:tc>
          <w:tcPr>
            <w:tcW w:w="2552" w:type="dxa"/>
          </w:tcPr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Въпреки че бившият съпруг на жалбоподателката е доказал достатъчни доходи за придобиване на различни активи в предишни периоди, той и жалбоподателката не са доказали такива доходи между 2002 г. и 2010 г.; по този начин те не са доказали, че са имали пари да направят първоначалната вноска през 2003 г. или да платят следващите вноски по банковия заем.</w:t>
            </w:r>
          </w:p>
          <w:p w:rsidR="00216DDC" w:rsidRPr="00216DDC" w:rsidRDefault="00216DDC" w:rsidP="00216DDC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Следователно може да се направи предположение, че апартаментът е бил закупен с пари, натрупани от престъпната дейност на бившия съпруг.</w:t>
            </w:r>
          </w:p>
        </w:tc>
        <w:tc>
          <w:tcPr>
            <w:tcW w:w="1276" w:type="dxa"/>
          </w:tcPr>
          <w:p w:rsidR="00216DDC" w:rsidRPr="00216DDC" w:rsidRDefault="00216DDC" w:rsidP="00216DDC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6 октомври 2017 г. - решение на Върховния касационен съд</w:t>
            </w:r>
          </w:p>
        </w:tc>
        <w:tc>
          <w:tcPr>
            <w:tcW w:w="1275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3 000</w:t>
            </w:r>
          </w:p>
        </w:tc>
        <w:tc>
          <w:tcPr>
            <w:tcW w:w="993" w:type="dxa"/>
          </w:tcPr>
          <w:p w:rsidR="00216DDC" w:rsidRPr="00216DDC" w:rsidRDefault="00216DDC" w:rsidP="00216DDC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216DDC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</w:tr>
    </w:tbl>
    <w:p w:rsidR="00216DDC" w:rsidRPr="00216DDC" w:rsidRDefault="00216DDC" w:rsidP="00216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6DDC" w:rsidRPr="00216DDC" w:rsidRDefault="00216DDC" w:rsidP="00216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EC6" w:rsidRDefault="003B4EC6"/>
    <w:sectPr w:rsidR="003B4EC6" w:rsidSect="00216DDC">
      <w:pgSz w:w="16838" w:h="11906" w:orient="landscape" w:code="9"/>
      <w:pgMar w:top="2275" w:right="2275" w:bottom="2275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7D3" w:rsidRDefault="000617D3" w:rsidP="00216DDC">
      <w:pPr>
        <w:spacing w:after="0" w:line="240" w:lineRule="auto"/>
      </w:pPr>
      <w:r>
        <w:separator/>
      </w:r>
    </w:p>
  </w:endnote>
  <w:endnote w:type="continuationSeparator" w:id="0">
    <w:p w:rsidR="000617D3" w:rsidRDefault="000617D3" w:rsidP="0021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C" w:rsidRDefault="00216DDC">
    <w:pPr>
      <w:pStyle w:val="Ju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C" w:rsidRDefault="00216DDC">
    <w:pPr>
      <w:pStyle w:val="JuHeader"/>
      <w:rPr>
        <w:rFonts w:ascii="Times New Roman" w:hAnsi="Times New Roman" w:cs="Times New Roman"/>
      </w:rPr>
    </w:pPr>
    <w:r w:rsidRPr="00E444E1">
      <w:rPr>
        <w:rFonts w:ascii="Times New Roman" w:hAnsi="Times New Roman" w:cs="Times New Roman"/>
      </w:rPr>
      <w:fldChar w:fldCharType="begin"/>
    </w:r>
    <w:r w:rsidRPr="00E444E1">
      <w:rPr>
        <w:rFonts w:ascii="Times New Roman" w:hAnsi="Times New Roman" w:cs="Times New Roman"/>
      </w:rPr>
      <w:instrText xml:space="preserve"> PAGE </w:instrText>
    </w:r>
    <w:r w:rsidRPr="00E444E1">
      <w:rPr>
        <w:rFonts w:ascii="Times New Roman" w:hAnsi="Times New Roman" w:cs="Times New Roman"/>
      </w:rPr>
      <w:fldChar w:fldCharType="separate"/>
    </w:r>
    <w:r w:rsidR="00AD2C04">
      <w:rPr>
        <w:rFonts w:ascii="Times New Roman" w:hAnsi="Times New Roman" w:cs="Times New Roman"/>
        <w:noProof/>
      </w:rPr>
      <w:t>8</w:t>
    </w:r>
    <w:r w:rsidRPr="00E444E1">
      <w:rPr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C" w:rsidRPr="00150BFA" w:rsidRDefault="00216DDC" w:rsidP="00774B7A">
    <w:pPr>
      <w:jc w:val="center"/>
    </w:pPr>
    <w:r>
      <w:rPr>
        <w:noProof/>
        <w:lang w:eastAsia="bg-BG"/>
      </w:rPr>
      <w:drawing>
        <wp:inline distT="0" distB="0" distL="0" distR="0" wp14:anchorId="6990F8CD" wp14:editId="79A5C5E2">
          <wp:extent cx="771525" cy="619125"/>
          <wp:effectExtent l="0" t="0" r="9525" b="9525"/>
          <wp:docPr id="12" name="Picture 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6DDC" w:rsidRPr="005B102C" w:rsidRDefault="00216DDC" w:rsidP="00774B7A">
    <w:pPr>
      <w:pStyle w:val="Footer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7D3" w:rsidRDefault="000617D3" w:rsidP="00216DDC">
      <w:pPr>
        <w:spacing w:after="0" w:line="240" w:lineRule="auto"/>
      </w:pPr>
      <w:r>
        <w:separator/>
      </w:r>
    </w:p>
  </w:footnote>
  <w:footnote w:type="continuationSeparator" w:id="0">
    <w:p w:rsidR="000617D3" w:rsidRDefault="000617D3" w:rsidP="00216DDC">
      <w:pPr>
        <w:spacing w:after="0" w:line="240" w:lineRule="auto"/>
      </w:pPr>
      <w:r>
        <w:continuationSeparator/>
      </w:r>
    </w:p>
  </w:footnote>
  <w:footnote w:id="1">
    <w:p w:rsidR="00216DDC" w:rsidRPr="00F03CB3" w:rsidRDefault="00216DDC" w:rsidP="00216DDC">
      <w:pPr>
        <w:pStyle w:val="FootnoteText"/>
        <w:rPr>
          <w:rFonts w:ascii="Times New Roman" w:hAnsi="Times New Roman" w:cs="Times New Roman"/>
          <w:lang w:val="bg-BG"/>
        </w:rPr>
      </w:pPr>
      <w:r w:rsidRPr="00F03CB3">
        <w:rPr>
          <w:rStyle w:val="FootnoteReference"/>
          <w:rFonts w:ascii="Times New Roman" w:hAnsi="Times New Roman" w:cs="Times New Roman"/>
          <w:lang w:val="bg-BG"/>
        </w:rPr>
        <w:footnoteRef/>
      </w:r>
      <w:r w:rsidRPr="00F03CB3">
        <w:rPr>
          <w:rFonts w:ascii="Times New Roman" w:hAnsi="Times New Roman" w:cs="Times New Roman"/>
          <w:lang w:val="bg-BG"/>
        </w:rPr>
        <w:t xml:space="preserve"> Плюс всички данъци, които могат да бъдат начислени на жалбоподателите.</w:t>
      </w:r>
    </w:p>
  </w:footnote>
  <w:footnote w:id="2">
    <w:p w:rsidR="00216DDC" w:rsidRPr="00F03CB3" w:rsidRDefault="00216DDC" w:rsidP="00216DDC">
      <w:pPr>
        <w:pStyle w:val="FootnoteText"/>
        <w:rPr>
          <w:lang w:val="bg-BG"/>
        </w:rPr>
      </w:pPr>
      <w:r w:rsidRPr="00F03CB3">
        <w:rPr>
          <w:rStyle w:val="FootnoteReference"/>
          <w:rFonts w:ascii="Times New Roman" w:hAnsi="Times New Roman" w:cs="Times New Roman"/>
          <w:lang w:val="bg-BG"/>
        </w:rPr>
        <w:footnoteRef/>
      </w:r>
      <w:r w:rsidRPr="00F03CB3">
        <w:rPr>
          <w:rFonts w:ascii="Times New Roman" w:hAnsi="Times New Roman" w:cs="Times New Roman"/>
          <w:lang w:val="bg-BG"/>
        </w:rPr>
        <w:t xml:space="preserve"> Плюс всички данъци, които могат да бъдат начислени на жалбоподателите.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C" w:rsidRPr="00A45145" w:rsidRDefault="00216DDC" w:rsidP="00774B7A">
    <w:pPr>
      <w:jc w:val="center"/>
    </w:pPr>
    <w:r>
      <w:rPr>
        <w:noProof/>
        <w:lang w:eastAsia="bg-BG"/>
      </w:rPr>
      <w:drawing>
        <wp:inline distT="0" distB="0" distL="0" distR="0" wp14:anchorId="3054DE2C" wp14:editId="42DBF98D">
          <wp:extent cx="2962275" cy="1219200"/>
          <wp:effectExtent l="0" t="0" r="9525" b="0"/>
          <wp:docPr id="10" name="Picture 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6DDC" w:rsidRPr="005B102C" w:rsidRDefault="00216DDC" w:rsidP="00774B7A">
    <w:pPr>
      <w:jc w:val="center"/>
      <w:rPr>
        <w:sz w:val="4"/>
        <w:szCs w:val="4"/>
      </w:rPr>
    </w:pPr>
  </w:p>
  <w:p w:rsidR="00216DDC" w:rsidRPr="005B102C" w:rsidRDefault="00216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C" w:rsidRPr="00A45145" w:rsidRDefault="00216DDC" w:rsidP="00774B7A">
    <w:pPr>
      <w:jc w:val="center"/>
    </w:pPr>
    <w:r>
      <w:rPr>
        <w:noProof/>
        <w:lang w:eastAsia="bg-BG"/>
      </w:rPr>
      <w:drawing>
        <wp:inline distT="0" distB="0" distL="0" distR="0" wp14:anchorId="0C017F93" wp14:editId="3087ECB7">
          <wp:extent cx="2962275" cy="1219200"/>
          <wp:effectExtent l="0" t="0" r="9525" b="0"/>
          <wp:docPr id="11" name="Picture 11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6DDC" w:rsidRPr="005B102C" w:rsidRDefault="00216DDC" w:rsidP="00774B7A">
    <w:pPr>
      <w:jc w:val="center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C" w:rsidRDefault="00216DDC">
    <w:pPr>
      <w:pStyle w:val="JuHeader"/>
    </w:pPr>
    <w:r>
      <w:t>SHOPOV AND OTHERS v. BULGARIA СЪДЕБНО РЕШЕНИЕ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C" w:rsidRDefault="00216DDC">
    <w:pPr>
      <w:pStyle w:val="JuHead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bg-BG"/>
      </w:rPr>
      <w:t>РЕШЕНИЕ ШОПОВ И ДРУГИ срещу БЪЛГАРИЯ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A42D7"/>
    <w:multiLevelType w:val="hybridMultilevel"/>
    <w:tmpl w:val="F71A3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8B"/>
    <w:rsid w:val="000617D3"/>
    <w:rsid w:val="00216DDC"/>
    <w:rsid w:val="0025259D"/>
    <w:rsid w:val="00361E03"/>
    <w:rsid w:val="003B4EC6"/>
    <w:rsid w:val="00542F5C"/>
    <w:rsid w:val="005A2427"/>
    <w:rsid w:val="005B4719"/>
    <w:rsid w:val="006B38B1"/>
    <w:rsid w:val="00836EEF"/>
    <w:rsid w:val="008D5F96"/>
    <w:rsid w:val="00913BF6"/>
    <w:rsid w:val="009A654B"/>
    <w:rsid w:val="00A44E8B"/>
    <w:rsid w:val="00A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8A91C-7E78-4032-B19B-AF1AD4DF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6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DDC"/>
    <w:rPr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216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DDC"/>
    <w:rPr>
      <w:lang w:val="bg-BG"/>
    </w:rPr>
  </w:style>
  <w:style w:type="paragraph" w:customStyle="1" w:styleId="JuHeader">
    <w:name w:val="Ju_Header"/>
    <w:aliases w:val="_Header"/>
    <w:basedOn w:val="Header"/>
    <w:uiPriority w:val="29"/>
    <w:qFormat/>
    <w:rsid w:val="00216DDC"/>
    <w:pPr>
      <w:tabs>
        <w:tab w:val="clear" w:pos="4513"/>
        <w:tab w:val="clear" w:pos="9026"/>
      </w:tabs>
      <w:jc w:val="center"/>
    </w:pPr>
    <w:rPr>
      <w:sz w:val="18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DDC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DDC"/>
    <w:rPr>
      <w:sz w:val="20"/>
      <w:szCs w:val="20"/>
    </w:rPr>
  </w:style>
  <w:style w:type="character" w:styleId="FootnoteReference">
    <w:name w:val="footnote reference"/>
    <w:basedOn w:val="DefaultParagraphFont"/>
    <w:uiPriority w:val="98"/>
    <w:semiHidden/>
    <w:rsid w:val="00216DDC"/>
    <w:rPr>
      <w:vertAlign w:val="superscript"/>
    </w:rPr>
  </w:style>
  <w:style w:type="table" w:customStyle="1" w:styleId="ECHRListTable">
    <w:name w:val="ECHR_List_Table"/>
    <w:basedOn w:val="TableNormal"/>
    <w:uiPriority w:val="99"/>
    <w:rsid w:val="00216DDC"/>
    <w:pPr>
      <w:spacing w:after="0" w:line="240" w:lineRule="auto"/>
    </w:pPr>
    <w:rPr>
      <w:sz w:val="24"/>
      <w:szCs w:val="24"/>
    </w:rPr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Silvina Sobadzhieva</cp:lastModifiedBy>
  <cp:revision>5</cp:revision>
  <dcterms:created xsi:type="dcterms:W3CDTF">2023-06-16T07:38:00Z</dcterms:created>
  <dcterms:modified xsi:type="dcterms:W3CDTF">2023-07-18T13:34:00Z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