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B2D" w:rsidRPr="00F82FC4" w:rsidRDefault="00547B2D" w:rsidP="00F82FC4">
      <w:pPr>
        <w:jc w:val="center"/>
        <w:rPr>
          <w:rFonts w:ascii="Times New Roman" w:hAnsi="Times New Roman" w:cs="Times New Roman"/>
          <w:noProof/>
        </w:rPr>
      </w:pPr>
      <w:bookmarkStart w:id="0" w:name="_GoBack"/>
      <w:bookmarkEnd w:id="0"/>
    </w:p>
    <w:p w:rsidR="0098410D" w:rsidRPr="00F82FC4" w:rsidRDefault="0098410D" w:rsidP="00F82FC4">
      <w:pPr>
        <w:jc w:val="center"/>
      </w:pPr>
    </w:p>
    <w:p w:rsidR="0098410D" w:rsidRPr="00F82FC4" w:rsidRDefault="00262152" w:rsidP="000B0FE4">
      <w:pPr>
        <w:pStyle w:val="DecHTitle"/>
        <w:spacing w:after="0" w:line="360" w:lineRule="auto"/>
      </w:pPr>
      <w:r>
        <w:t>ТРЕТО ОТДЕЛЕНИЕ</w:t>
      </w:r>
    </w:p>
    <w:p w:rsidR="008E6217" w:rsidRPr="00F82FC4" w:rsidRDefault="00262152" w:rsidP="000B0FE4">
      <w:pPr>
        <w:pStyle w:val="JuTitle"/>
        <w:spacing w:before="0" w:after="0" w:line="360" w:lineRule="auto"/>
      </w:pPr>
      <w:r>
        <w:rPr>
          <w:color w:val="000000" w:themeColor="text1"/>
        </w:rPr>
        <w:t xml:space="preserve">ДЕЛО </w:t>
      </w:r>
      <w:r>
        <w:t>МАРКОВА СРЕЩУ БЪЛГАРИЯ</w:t>
      </w:r>
    </w:p>
    <w:p w:rsidR="00D74888" w:rsidRPr="00F82FC4" w:rsidRDefault="00262152" w:rsidP="000B0FE4">
      <w:pPr>
        <w:pStyle w:val="ECHRCoverTitle4"/>
        <w:spacing w:line="360" w:lineRule="auto"/>
      </w:pPr>
      <w:r>
        <w:t>(Жалба № 44251/18)</w:t>
      </w:r>
    </w:p>
    <w:p w:rsidR="0098410D" w:rsidRPr="00F82FC4" w:rsidRDefault="0098410D" w:rsidP="00F82FC4">
      <w:pPr>
        <w:pStyle w:val="DecHCase"/>
      </w:pPr>
    </w:p>
    <w:p w:rsidR="0098410D" w:rsidRPr="00F82FC4" w:rsidRDefault="00262152" w:rsidP="00F82FC4">
      <w:pPr>
        <w:pStyle w:val="DecHCase"/>
      </w:pPr>
      <w:r>
        <w:t>РЕШЕНИЕ</w:t>
      </w:r>
      <w:r>
        <w:br/>
      </w:r>
    </w:p>
    <w:p w:rsidR="0098410D" w:rsidRPr="00F82FC4" w:rsidRDefault="00262152" w:rsidP="00F82FC4">
      <w:pPr>
        <w:pStyle w:val="DecHCase"/>
      </w:pPr>
      <w:r>
        <w:t>СТРАСБУРГ</w:t>
      </w:r>
    </w:p>
    <w:p w:rsidR="0098410D" w:rsidRPr="00F82FC4" w:rsidRDefault="00262152" w:rsidP="00F82FC4">
      <w:pPr>
        <w:pStyle w:val="DecHCase"/>
      </w:pPr>
      <w:r>
        <w:rPr>
          <w:rFonts w:ascii="Times New Roman" w:hAnsi="Times New Roman"/>
        </w:rPr>
        <w:t>16 април 2024 г</w:t>
      </w:r>
    </w:p>
    <w:p w:rsidR="00AC4CD4" w:rsidRPr="00F82FC4" w:rsidRDefault="00AC4CD4" w:rsidP="00F82FC4">
      <w:pPr>
        <w:pStyle w:val="JuPara"/>
      </w:pPr>
    </w:p>
    <w:p w:rsidR="002422B6" w:rsidRPr="00F82FC4" w:rsidRDefault="00262152" w:rsidP="00F82FC4">
      <w:pPr>
        <w:rPr>
          <w:i/>
          <w:sz w:val="22"/>
        </w:rPr>
      </w:pPr>
      <w:r>
        <w:rPr>
          <w:i/>
          <w:sz w:val="22"/>
        </w:rPr>
        <w:t>Това решение е окончателно, но може да бъде предмет на редакцион</w:t>
      </w:r>
      <w:r w:rsidR="0098547D">
        <w:rPr>
          <w:i/>
          <w:sz w:val="22"/>
        </w:rPr>
        <w:t>ен</w:t>
      </w:r>
      <w:r>
        <w:rPr>
          <w:i/>
          <w:sz w:val="22"/>
        </w:rPr>
        <w:t xml:space="preserve"> </w:t>
      </w:r>
      <w:r w:rsidR="0098547D">
        <w:rPr>
          <w:i/>
          <w:sz w:val="22"/>
        </w:rPr>
        <w:t>преглед</w:t>
      </w:r>
    </w:p>
    <w:p w:rsidR="0098410D" w:rsidRPr="00F82FC4" w:rsidRDefault="0098410D" w:rsidP="00F82FC4">
      <w:pPr>
        <w:sectPr w:rsidR="0098410D" w:rsidRPr="00F82FC4" w:rsidSect="00D66471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2274" w:right="2274" w:bottom="2274" w:left="2274" w:header="1701" w:footer="720" w:gutter="0"/>
          <w:pgNumType w:start="1"/>
          <w:cols w:space="720"/>
          <w:noEndnote/>
          <w:titlePg/>
        </w:sectPr>
      </w:pPr>
    </w:p>
    <w:p w:rsidR="0098410D" w:rsidRPr="00F82FC4" w:rsidRDefault="00262152" w:rsidP="00F82FC4">
      <w:pPr>
        <w:pStyle w:val="JuCase"/>
      </w:pPr>
      <w:r>
        <w:lastRenderedPageBreak/>
        <w:t xml:space="preserve">По делото </w:t>
      </w:r>
      <w:r w:rsidR="0098547D">
        <w:t>„</w:t>
      </w:r>
      <w:r>
        <w:t>Маркова срещу България</w:t>
      </w:r>
      <w:r w:rsidR="0098547D">
        <w:t>“</w:t>
      </w:r>
      <w:r>
        <w:t>,</w:t>
      </w:r>
    </w:p>
    <w:p w:rsidR="009F4C8F" w:rsidRPr="00F82FC4" w:rsidRDefault="00262152" w:rsidP="00F82FC4">
      <w:pPr>
        <w:pStyle w:val="JuPara"/>
      </w:pPr>
      <w:r>
        <w:t xml:space="preserve">Европейският съд по правата на човека (Трето отделение), заседаващ като </w:t>
      </w:r>
      <w:r w:rsidR="00CC764C">
        <w:t>Комитет, състоящ се от</w:t>
      </w:r>
      <w:r>
        <w:t>:</w:t>
      </w:r>
    </w:p>
    <w:p w:rsidR="00A92625" w:rsidRPr="00F82FC4" w:rsidRDefault="00262152" w:rsidP="00F82FC4">
      <w:pPr>
        <w:pStyle w:val="JuJudges"/>
      </w:pPr>
      <w:r>
        <w:tab/>
      </w:r>
      <w:proofErr w:type="spellStart"/>
      <w:r>
        <w:t>Йоанис</w:t>
      </w:r>
      <w:proofErr w:type="spellEnd"/>
      <w:r>
        <w:t xml:space="preserve"> </w:t>
      </w:r>
      <w:proofErr w:type="spellStart"/>
      <w:r>
        <w:t>Ктистакис</w:t>
      </w:r>
      <w:proofErr w:type="spellEnd"/>
      <w:r>
        <w:t xml:space="preserve"> (</w:t>
      </w:r>
      <w:proofErr w:type="spellStart"/>
      <w:r>
        <w:rPr>
          <w:i/>
          <w:iCs/>
        </w:rPr>
        <w:t>Ioannis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Ktistakis</w:t>
      </w:r>
      <w:proofErr w:type="spellEnd"/>
      <w:r>
        <w:t xml:space="preserve">), </w:t>
      </w:r>
      <w:r>
        <w:rPr>
          <w:i/>
          <w:iCs/>
        </w:rPr>
        <w:t>председател</w:t>
      </w:r>
      <w:r>
        <w:br/>
      </w:r>
      <w:r>
        <w:tab/>
        <w:t>Йонко Грозев,</w:t>
      </w:r>
      <w:r>
        <w:br/>
      </w:r>
      <w:r>
        <w:tab/>
        <w:t xml:space="preserve">Андреас </w:t>
      </w:r>
      <w:proofErr w:type="spellStart"/>
      <w:r>
        <w:t>Зюнд</w:t>
      </w:r>
      <w:proofErr w:type="spellEnd"/>
      <w:r>
        <w:t xml:space="preserve"> (</w:t>
      </w:r>
      <w:proofErr w:type="spellStart"/>
      <w:r>
        <w:rPr>
          <w:i/>
          <w:iCs/>
        </w:rPr>
        <w:t>Andreas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Zünd</w:t>
      </w:r>
      <w:proofErr w:type="spellEnd"/>
      <w:r>
        <w:t>)</w:t>
      </w:r>
      <w:r>
        <w:rPr>
          <w:i/>
        </w:rPr>
        <w:t>, съдии</w:t>
      </w:r>
      <w:r>
        <w:t>,</w:t>
      </w:r>
      <w:r>
        <w:br/>
        <w:t xml:space="preserve">и Олга </w:t>
      </w:r>
      <w:proofErr w:type="spellStart"/>
      <w:r>
        <w:t>Чернишова</w:t>
      </w:r>
      <w:proofErr w:type="spellEnd"/>
      <w:r>
        <w:t xml:space="preserve">, </w:t>
      </w:r>
      <w:r>
        <w:rPr>
          <w:i/>
          <w:iCs/>
        </w:rPr>
        <w:t>заместник-секретар на отделението</w:t>
      </w:r>
      <w:r>
        <w:rPr>
          <w:i/>
        </w:rPr>
        <w:t>,</w:t>
      </w:r>
    </w:p>
    <w:p w:rsidR="00547B2D" w:rsidRPr="00F82FC4" w:rsidRDefault="00262152" w:rsidP="00F82FC4">
      <w:pPr>
        <w:pStyle w:val="JuPara"/>
      </w:pPr>
      <w:r>
        <w:t>като взе предвид:</w:t>
      </w:r>
    </w:p>
    <w:p w:rsidR="00547B2D" w:rsidRPr="00F82FC4" w:rsidRDefault="00262152" w:rsidP="00F82FC4">
      <w:pPr>
        <w:pStyle w:val="JuPara"/>
      </w:pPr>
      <w:r>
        <w:t>жалбата (№ 44251/18) срещу Република България, подадена в Съда по чл. 34 от Конвенцията за защита на правата на човека и основните свободи („Конвенцията“) на 11 септември 2018 г. от български гражданин, г-жа Веселка Георгиева Маркова („</w:t>
      </w:r>
      <w:proofErr w:type="spellStart"/>
      <w:r>
        <w:t>жалбоподателката</w:t>
      </w:r>
      <w:proofErr w:type="spellEnd"/>
      <w:r>
        <w:t xml:space="preserve">”), която е родена през 1971 г. и живее в София; представлява се пред Съда от съпруга си, г-н М. Марков, на когото е разрешено съгласно Правило 36 §§ 2 и 4 (a) </w:t>
      </w:r>
      <w:proofErr w:type="spellStart"/>
      <w:r>
        <w:rPr>
          <w:i/>
          <w:iCs/>
        </w:rPr>
        <w:t>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fine</w:t>
      </w:r>
      <w:proofErr w:type="spellEnd"/>
      <w:r>
        <w:t xml:space="preserve"> от Правилника на Съда да представи нейното дело;</w:t>
      </w:r>
    </w:p>
    <w:p w:rsidR="00547B2D" w:rsidRPr="00F82FC4" w:rsidRDefault="00262152" w:rsidP="00F82FC4">
      <w:pPr>
        <w:pStyle w:val="JuPara"/>
      </w:pPr>
      <w:r>
        <w:t>решението да уведоми Българското правителство („Правителството“), представлявано от правителствения агент г-жа М. Коцева от Министерство на правосъдието, за подадената жалба;</w:t>
      </w:r>
    </w:p>
    <w:p w:rsidR="00547B2D" w:rsidRPr="00F82FC4" w:rsidRDefault="00262152" w:rsidP="00F82FC4">
      <w:pPr>
        <w:pStyle w:val="JuPara"/>
      </w:pPr>
      <w:r>
        <w:t>становищата на страните;</w:t>
      </w:r>
    </w:p>
    <w:p w:rsidR="00547B2D" w:rsidRPr="00F82FC4" w:rsidRDefault="00262152" w:rsidP="00F82FC4">
      <w:pPr>
        <w:pStyle w:val="JuPara"/>
      </w:pPr>
      <w:r>
        <w:t xml:space="preserve">решението за отхвърляне на възражението на Правителството за разглеждане на жалбата от </w:t>
      </w:r>
      <w:r w:rsidR="0048684E">
        <w:t>Комитет</w:t>
      </w:r>
      <w:r>
        <w:t>;</w:t>
      </w:r>
    </w:p>
    <w:p w:rsidR="009F4C8F" w:rsidRPr="00F82FC4" w:rsidRDefault="00262152" w:rsidP="00F82FC4">
      <w:pPr>
        <w:pStyle w:val="JuPara"/>
      </w:pPr>
      <w:r>
        <w:t xml:space="preserve">след </w:t>
      </w:r>
      <w:r w:rsidR="0048684E">
        <w:t xml:space="preserve">като обсъди на </w:t>
      </w:r>
      <w:r>
        <w:t>закрито заседание, проведено на 26 март 2024 г.,</w:t>
      </w:r>
    </w:p>
    <w:p w:rsidR="009F4C8F" w:rsidRPr="00F82FC4" w:rsidRDefault="00262152" w:rsidP="00F82FC4">
      <w:pPr>
        <w:pStyle w:val="JuPara"/>
      </w:pPr>
      <w:r>
        <w:t>постанови следното решение, прието на същата дата:</w:t>
      </w:r>
    </w:p>
    <w:p w:rsidR="00547B2D" w:rsidRPr="00F82FC4" w:rsidRDefault="00262152" w:rsidP="00F82FC4">
      <w:pPr>
        <w:pStyle w:val="JuHHead"/>
        <w:numPr>
          <w:ilvl w:val="0"/>
          <w:numId w:val="0"/>
        </w:numPr>
      </w:pPr>
      <w:r>
        <w:t>ПРЕДМЕТ НА ДЕЛОТО</w:t>
      </w:r>
    </w:p>
    <w:p w:rsidR="00547B2D" w:rsidRPr="00F82FC4" w:rsidRDefault="00D206DC" w:rsidP="00F82FC4">
      <w:pPr>
        <w:pStyle w:val="JuPara"/>
      </w:pPr>
      <w:fldSimple w:instr=" SEQ level0 \*arabic ">
        <w:r w:rsidR="00F40CCC">
          <w:rPr>
            <w:noProof/>
          </w:rPr>
          <w:t>1</w:t>
        </w:r>
      </w:fldSimple>
      <w:r w:rsidR="00262152">
        <w:t>.  Делото касае достъп до правосъдие.</w:t>
      </w:r>
    </w:p>
    <w:p w:rsidR="00547B2D" w:rsidRPr="00F82FC4" w:rsidRDefault="006A3076" w:rsidP="00F82FC4">
      <w:pPr>
        <w:pStyle w:val="JuPara"/>
      </w:pPr>
      <w:r>
        <w:rPr>
          <w:noProof/>
        </w:rPr>
        <w:fldChar w:fldCharType="begin"/>
      </w:r>
      <w:r>
        <w:rPr>
          <w:noProof/>
        </w:rPr>
        <w:instrText xml:space="preserve"> SEQ level0 \*arabic \* MERGEFORMAT </w:instrText>
      </w:r>
      <w:r>
        <w:rPr>
          <w:noProof/>
        </w:rPr>
        <w:fldChar w:fldCharType="separate"/>
      </w:r>
      <w:bookmarkStart w:id="1" w:name="paragraph00002"/>
      <w:r w:rsidR="00F40CCC">
        <w:rPr>
          <w:noProof/>
        </w:rPr>
        <w:t>2</w:t>
      </w:r>
      <w:bookmarkEnd w:id="1"/>
      <w:r>
        <w:rPr>
          <w:noProof/>
        </w:rPr>
        <w:fldChar w:fldCharType="end"/>
      </w:r>
      <w:r w:rsidR="00262152">
        <w:t xml:space="preserve">.  Агенция за недвижими имоти образува заповедно производство срещу </w:t>
      </w:r>
      <w:proofErr w:type="spellStart"/>
      <w:r w:rsidR="00262152">
        <w:t>жалбоподателката</w:t>
      </w:r>
      <w:proofErr w:type="spellEnd"/>
      <w:r w:rsidR="00262152">
        <w:t xml:space="preserve"> през април 2017 г., като твърди, че </w:t>
      </w:r>
      <w:proofErr w:type="spellStart"/>
      <w:r w:rsidR="00262152">
        <w:t>жалбоподателката</w:t>
      </w:r>
      <w:proofErr w:type="spellEnd"/>
      <w:r w:rsidR="00262152">
        <w:t xml:space="preserve"> не е платила възнаграждение, уговорено по договор за посредничество. Агенцията представя договора, в който се посочва адресът на </w:t>
      </w:r>
      <w:proofErr w:type="spellStart"/>
      <w:r w:rsidR="00262152">
        <w:t>жалбоподателката</w:t>
      </w:r>
      <w:proofErr w:type="spellEnd"/>
      <w:r w:rsidR="00262152">
        <w:t xml:space="preserve"> към онзи момент и адресът на закупения от нея апартамент. Заповед за </w:t>
      </w:r>
      <w:r w:rsidR="007074A2">
        <w:t xml:space="preserve">изпълнение </w:t>
      </w:r>
      <w:r w:rsidR="00262152">
        <w:t xml:space="preserve">е издадена от Софийски районен съд на 10 май 2017 г. По принцип уведомлението за това </w:t>
      </w:r>
      <w:r w:rsidR="00E823AE">
        <w:t xml:space="preserve">е </w:t>
      </w:r>
      <w:r w:rsidR="00262152">
        <w:t>трябва</w:t>
      </w:r>
      <w:r w:rsidR="00E823AE">
        <w:t>ло</w:t>
      </w:r>
      <w:r w:rsidR="00262152">
        <w:t xml:space="preserve"> да бъде връчено на </w:t>
      </w:r>
      <w:proofErr w:type="spellStart"/>
      <w:r w:rsidR="00262152">
        <w:t>жалбоподателката</w:t>
      </w:r>
      <w:proofErr w:type="spellEnd"/>
      <w:r w:rsidR="00262152">
        <w:t>, която</w:t>
      </w:r>
      <w:r w:rsidR="00E823AE">
        <w:t xml:space="preserve"> е</w:t>
      </w:r>
      <w:r w:rsidR="00262152">
        <w:t xml:space="preserve"> мо</w:t>
      </w:r>
      <w:r w:rsidR="00E823AE">
        <w:t>гла</w:t>
      </w:r>
      <w:r w:rsidR="00262152">
        <w:t xml:space="preserve"> да възрази, ако</w:t>
      </w:r>
      <w:r w:rsidR="00E823AE">
        <w:t xml:space="preserve"> е</w:t>
      </w:r>
      <w:r w:rsidR="00262152">
        <w:t xml:space="preserve"> желае</w:t>
      </w:r>
      <w:r w:rsidR="00E823AE">
        <w:t>ла</w:t>
      </w:r>
      <w:r w:rsidR="0013772A">
        <w:t xml:space="preserve"> това</w:t>
      </w:r>
      <w:r w:rsidR="00262152">
        <w:t xml:space="preserve">. Направен е опит за връчване на трети адрес, за който Софийски районен съд установява, че е адресът, деклариран от </w:t>
      </w:r>
      <w:proofErr w:type="spellStart"/>
      <w:r w:rsidR="00262152">
        <w:t>жалбоподателката</w:t>
      </w:r>
      <w:proofErr w:type="spellEnd"/>
      <w:r w:rsidR="00262152">
        <w:t xml:space="preserve"> пред местните власти, но още при първото си посещение </w:t>
      </w:r>
      <w:proofErr w:type="spellStart"/>
      <w:r w:rsidR="00262152">
        <w:t>връчителят</w:t>
      </w:r>
      <w:proofErr w:type="spellEnd"/>
      <w:r w:rsidR="00262152">
        <w:t xml:space="preserve"> установява, че </w:t>
      </w:r>
      <w:proofErr w:type="spellStart"/>
      <w:r w:rsidR="00262152">
        <w:t>жалбоподателката</w:t>
      </w:r>
      <w:proofErr w:type="spellEnd"/>
      <w:r w:rsidR="00262152">
        <w:t xml:space="preserve"> вече не живее там, а всъщност се е изнесла девет години по-рано. Въпреки това </w:t>
      </w:r>
      <w:proofErr w:type="spellStart"/>
      <w:r w:rsidR="00262152">
        <w:t>връчителят</w:t>
      </w:r>
      <w:proofErr w:type="spellEnd"/>
      <w:r w:rsidR="00262152">
        <w:t xml:space="preserve"> посещава същия адрес още няколко пъти, след което залепва съобщението на вратата. По-късно, след като констатира, че не е постъпило възражение срещу заповедта за </w:t>
      </w:r>
      <w:r w:rsidR="00507FB7">
        <w:t>изпълнение</w:t>
      </w:r>
      <w:r w:rsidR="00262152">
        <w:t>, Софийски районен съд издава изпълнителен лист на 23 октомври 2017 г.</w:t>
      </w:r>
    </w:p>
    <w:p w:rsidR="00547B2D" w:rsidRPr="00F82FC4" w:rsidRDefault="006A3076" w:rsidP="00F82FC4">
      <w:pPr>
        <w:pStyle w:val="JuPara"/>
      </w:pPr>
      <w:r>
        <w:rPr>
          <w:noProof/>
        </w:rPr>
        <w:lastRenderedPageBreak/>
        <w:fldChar w:fldCharType="begin"/>
      </w:r>
      <w:r>
        <w:rPr>
          <w:noProof/>
        </w:rPr>
        <w:instrText xml:space="preserve"> SEQ level0 \*arabic \* MERGEFORMAT </w:instrText>
      </w:r>
      <w:r>
        <w:rPr>
          <w:noProof/>
        </w:rPr>
        <w:fldChar w:fldCharType="separate"/>
      </w:r>
      <w:bookmarkStart w:id="2" w:name="paragraph00003"/>
      <w:r w:rsidR="00F40CCC">
        <w:rPr>
          <w:noProof/>
        </w:rPr>
        <w:t>3</w:t>
      </w:r>
      <w:bookmarkEnd w:id="2"/>
      <w:r>
        <w:rPr>
          <w:noProof/>
        </w:rPr>
        <w:fldChar w:fldCharType="end"/>
      </w:r>
      <w:r w:rsidR="00262152">
        <w:t xml:space="preserve">.  След като агенцията за недвижими имоти образува изпълнително производство, на 6 ноември 2017 г. съдебен изпълнител връчва заповедта на </w:t>
      </w:r>
      <w:proofErr w:type="spellStart"/>
      <w:r w:rsidR="00262152">
        <w:t>жалбоподателката</w:t>
      </w:r>
      <w:proofErr w:type="spellEnd"/>
      <w:r w:rsidR="00262152">
        <w:t xml:space="preserve"> на работното й място. Като разбира за воденото срещу нея производство, </w:t>
      </w:r>
      <w:proofErr w:type="spellStart"/>
      <w:r w:rsidR="00262152">
        <w:t>жалбоподателката</w:t>
      </w:r>
      <w:proofErr w:type="spellEnd"/>
      <w:r w:rsidR="00262152">
        <w:t xml:space="preserve"> най-накрая възразява срещу заповедта за </w:t>
      </w:r>
      <w:r w:rsidR="003A44DD">
        <w:t>изпълнение</w:t>
      </w:r>
      <w:r w:rsidR="00262152">
        <w:t xml:space="preserve">. Възражението </w:t>
      </w:r>
      <w:r w:rsidR="00DE4B83">
        <w:t>е допустимо</w:t>
      </w:r>
      <w:r w:rsidR="00262152">
        <w:t xml:space="preserve"> съгласно чл. 423</w:t>
      </w:r>
      <w:r w:rsidR="003A44DD">
        <w:t>, ал.</w:t>
      </w:r>
      <w:r w:rsidR="00262152">
        <w:t xml:space="preserve"> 1 от Гражданск</w:t>
      </w:r>
      <w:r w:rsidR="003A44DD">
        <w:t xml:space="preserve">ия </w:t>
      </w:r>
      <w:r w:rsidR="00262152">
        <w:t>процесуал</w:t>
      </w:r>
      <w:r w:rsidR="003A44DD">
        <w:t>е</w:t>
      </w:r>
      <w:r w:rsidR="00262152">
        <w:t xml:space="preserve">н кодекс, ако </w:t>
      </w:r>
      <w:proofErr w:type="spellStart"/>
      <w:r w:rsidR="00262152">
        <w:t>жалбоподателката</w:t>
      </w:r>
      <w:proofErr w:type="spellEnd"/>
      <w:r w:rsidR="00262152">
        <w:t xml:space="preserve"> докаже, че съобщението не ѝ е било надлежно връчено. С окончателно решение от 12 март 2018 г. обаче Софийски градски съд приема, че съобщението трябва да се счита за надлежно връчено, тъй като е оставено на декларирания от </w:t>
      </w:r>
      <w:proofErr w:type="spellStart"/>
      <w:r w:rsidR="00262152">
        <w:t>жалбоподателката</w:t>
      </w:r>
      <w:proofErr w:type="spellEnd"/>
      <w:r w:rsidR="00262152">
        <w:t xml:space="preserve"> адрес.</w:t>
      </w:r>
    </w:p>
    <w:p w:rsidR="00547B2D" w:rsidRPr="00F82FC4" w:rsidRDefault="006A3076" w:rsidP="00F82FC4">
      <w:pPr>
        <w:pStyle w:val="JuPara"/>
      </w:pPr>
      <w:r>
        <w:rPr>
          <w:noProof/>
        </w:rPr>
        <w:fldChar w:fldCharType="begin"/>
      </w:r>
      <w:r>
        <w:rPr>
          <w:noProof/>
        </w:rPr>
        <w:instrText xml:space="preserve"> SEQ level0 \*arabic \* MERGEFORMAT </w:instrText>
      </w:r>
      <w:r>
        <w:rPr>
          <w:noProof/>
        </w:rPr>
        <w:fldChar w:fldCharType="separate"/>
      </w:r>
      <w:bookmarkStart w:id="3" w:name="paragraph00004"/>
      <w:r w:rsidR="00F40CCC">
        <w:rPr>
          <w:noProof/>
        </w:rPr>
        <w:t>4</w:t>
      </w:r>
      <w:bookmarkEnd w:id="3"/>
      <w:r>
        <w:rPr>
          <w:noProof/>
        </w:rPr>
        <w:fldChar w:fldCharType="end"/>
      </w:r>
      <w:r w:rsidR="00262152">
        <w:t xml:space="preserve">.  В крайна сметка </w:t>
      </w:r>
      <w:proofErr w:type="spellStart"/>
      <w:r w:rsidR="00262152">
        <w:t>жалбоподателката</w:t>
      </w:r>
      <w:proofErr w:type="spellEnd"/>
      <w:r w:rsidR="00262152">
        <w:t xml:space="preserve"> изплаща изцяло дълга от 3 776 български лева (BGN), равностойни на 1 930 евро (EUR), </w:t>
      </w:r>
      <w:r w:rsidR="003A44DD">
        <w:t xml:space="preserve">представляващ </w:t>
      </w:r>
      <w:r w:rsidR="00262152">
        <w:t>сумата, на която е осъдена, лихви и разноски.</w:t>
      </w:r>
    </w:p>
    <w:p w:rsidR="00547B2D" w:rsidRPr="00F82FC4" w:rsidRDefault="00F82FC4" w:rsidP="00F82FC4">
      <w:pPr>
        <w:pStyle w:val="JuPara"/>
      </w:pPr>
      <w:r w:rsidRPr="00F82FC4">
        <w:fldChar w:fldCharType="begin"/>
      </w:r>
      <w:r w:rsidR="00262152">
        <w:instrText xml:space="preserve"> SEQ level0 \*arabic \* MERGEFORMAT </w:instrText>
      </w:r>
      <w:r w:rsidRPr="00F82FC4">
        <w:fldChar w:fldCharType="separate"/>
      </w:r>
      <w:r w:rsidR="00F40CCC">
        <w:rPr>
          <w:noProof/>
        </w:rPr>
        <w:t>5</w:t>
      </w:r>
      <w:r w:rsidRPr="00F82FC4">
        <w:fldChar w:fldCharType="end"/>
      </w:r>
      <w:r>
        <w:t>.  </w:t>
      </w:r>
      <w:proofErr w:type="spellStart"/>
      <w:r>
        <w:t>Жалбоподателката</w:t>
      </w:r>
      <w:proofErr w:type="spellEnd"/>
      <w:r>
        <w:t xml:space="preserve"> се оплаква пред Съда </w:t>
      </w:r>
      <w:r w:rsidR="003A44DD">
        <w:t>по</w:t>
      </w:r>
      <w:r>
        <w:t xml:space="preserve"> чл. 6 § 1 от Конвенцията, че ѝ е отказан достъп до съд за участие в заповедното производство.</w:t>
      </w:r>
    </w:p>
    <w:p w:rsidR="00547B2D" w:rsidRPr="00F82FC4" w:rsidRDefault="00262152" w:rsidP="00F82FC4">
      <w:pPr>
        <w:pStyle w:val="JuHHead"/>
      </w:pPr>
      <w:r>
        <w:t>ПРЕЦЕНКАТА НА СЪДА</w:t>
      </w:r>
    </w:p>
    <w:p w:rsidR="00547B2D" w:rsidRPr="00F82FC4" w:rsidRDefault="00D206DC" w:rsidP="00F82FC4">
      <w:pPr>
        <w:pStyle w:val="JuPara"/>
      </w:pPr>
      <w:fldSimple w:instr=" SEQ level0 \*arabic ">
        <w:r w:rsidR="00F40CCC">
          <w:rPr>
            <w:noProof/>
          </w:rPr>
          <w:t>6</w:t>
        </w:r>
      </w:fldSimple>
      <w:r w:rsidR="00262152">
        <w:t>.  Съдът отбелязва, че жалбата не е явно необоснована по смисъла на член 35 § 3 (a) от Конвенцията или недопустима на други основания. Следователно трябва да бъде обявена за допустима.</w:t>
      </w:r>
    </w:p>
    <w:p w:rsidR="00547B2D" w:rsidRPr="00F82FC4" w:rsidRDefault="00D206DC" w:rsidP="00F82FC4">
      <w:pPr>
        <w:pStyle w:val="JuPara"/>
      </w:pPr>
      <w:fldSimple w:instr=" SEQ level0 \*arabic ">
        <w:bookmarkStart w:id="4" w:name="paragraph00007"/>
        <w:r w:rsidR="00F40CCC">
          <w:rPr>
            <w:noProof/>
          </w:rPr>
          <w:t>7</w:t>
        </w:r>
        <w:bookmarkEnd w:id="4"/>
      </w:fldSimple>
      <w:r w:rsidR="00262152">
        <w:t>.  </w:t>
      </w:r>
      <w:proofErr w:type="spellStart"/>
      <w:r w:rsidR="00262152">
        <w:t>Относимите</w:t>
      </w:r>
      <w:proofErr w:type="spellEnd"/>
      <w:r w:rsidR="00262152">
        <w:t xml:space="preserve"> общи принципи са обобщени </w:t>
      </w:r>
      <w:r w:rsidR="00FC1C9A">
        <w:t xml:space="preserve">наскоро </w:t>
      </w:r>
      <w:r w:rsidR="00262152">
        <w:t xml:space="preserve">в </w:t>
      </w:r>
      <w:proofErr w:type="spellStart"/>
      <w:r w:rsidR="00262152">
        <w:rPr>
          <w:i/>
        </w:rPr>
        <w:t>Berestov</w:t>
      </w:r>
      <w:proofErr w:type="spellEnd"/>
      <w:r w:rsidR="00262152">
        <w:rPr>
          <w:i/>
        </w:rPr>
        <w:t xml:space="preserve"> v. </w:t>
      </w:r>
      <w:proofErr w:type="spellStart"/>
      <w:r w:rsidR="00262152">
        <w:rPr>
          <w:i/>
        </w:rPr>
        <w:t>Russia</w:t>
      </w:r>
      <w:proofErr w:type="spellEnd"/>
      <w:r w:rsidR="00262152">
        <w:t xml:space="preserve"> (№ 17342/13, §§ 35-37, 18 май 2021 г.). По-конкретно, Съдът вече е посоч</w:t>
      </w:r>
      <w:r w:rsidR="00FC1C9A">
        <w:t>вал</w:t>
      </w:r>
      <w:r w:rsidR="00262152">
        <w:t xml:space="preserve">, че принципът на </w:t>
      </w:r>
      <w:r w:rsidR="00262152" w:rsidRPr="009D4DAF">
        <w:t>равенство на страните</w:t>
      </w:r>
      <w:r w:rsidR="00262152">
        <w:t xml:space="preserve"> съгласно чл. 6 § 1 от Конвенцията би бил лишен от съдържание, ако страна по дело не е уведомена за заседание по такъв начин, че да има възможност да присъства на него.</w:t>
      </w:r>
      <w:r w:rsidR="00262152">
        <w:rPr>
          <w:rFonts w:ascii="Arial" w:hAnsi="Arial"/>
          <w:color w:val="000000"/>
        </w:rPr>
        <w:t xml:space="preserve"> </w:t>
      </w:r>
      <w:r w:rsidR="00262152">
        <w:t xml:space="preserve">В случаите, когато граждански производства са провеждани без жалбоподателят изобщо да е </w:t>
      </w:r>
      <w:r w:rsidR="00F2023F">
        <w:t xml:space="preserve">бил </w:t>
      </w:r>
      <w:r w:rsidR="00262152">
        <w:t xml:space="preserve">информиран за тях, Съдът счита, че трябва да провери: (i) дали властите са действали </w:t>
      </w:r>
      <w:r w:rsidR="00C9716B">
        <w:t>добросъвестно по отношение на това да</w:t>
      </w:r>
      <w:r w:rsidR="00262152">
        <w:t xml:space="preserve"> информира</w:t>
      </w:r>
      <w:r w:rsidR="00C9716B">
        <w:t>т</w:t>
      </w:r>
      <w:r w:rsidR="00262152">
        <w:t xml:space="preserve"> жалбоподателя за производството и дали може да се счита, че жалбоподателят се е отказал от правото си да се яви пред съдилищата; и, ако отговорът е отрицателен, (ii) дали националното законодателство е предоставило на жалбоподателя подходящите средства за осигуряване на ново състезателно изслушване (вж. също </w:t>
      </w:r>
      <w:proofErr w:type="spellStart"/>
      <w:r w:rsidR="00262152">
        <w:rPr>
          <w:i/>
        </w:rPr>
        <w:t>Dilipak</w:t>
      </w:r>
      <w:proofErr w:type="spellEnd"/>
      <w:r w:rsidR="00262152">
        <w:rPr>
          <w:i/>
        </w:rPr>
        <w:t xml:space="preserve"> </w:t>
      </w:r>
      <w:proofErr w:type="spellStart"/>
      <w:r w:rsidR="00262152">
        <w:rPr>
          <w:i/>
        </w:rPr>
        <w:t>and</w:t>
      </w:r>
      <w:proofErr w:type="spellEnd"/>
      <w:r w:rsidR="00262152">
        <w:rPr>
          <w:i/>
        </w:rPr>
        <w:t xml:space="preserve"> </w:t>
      </w:r>
      <w:proofErr w:type="spellStart"/>
      <w:r w:rsidR="00262152">
        <w:rPr>
          <w:i/>
        </w:rPr>
        <w:t>Karakaya</w:t>
      </w:r>
      <w:proofErr w:type="spellEnd"/>
      <w:r w:rsidR="00262152">
        <w:rPr>
          <w:i/>
        </w:rPr>
        <w:t xml:space="preserve"> v. </w:t>
      </w:r>
      <w:proofErr w:type="spellStart"/>
      <w:r w:rsidR="00262152">
        <w:rPr>
          <w:i/>
        </w:rPr>
        <w:t>Turkey</w:t>
      </w:r>
      <w:proofErr w:type="spellEnd"/>
      <w:r w:rsidR="00262152">
        <w:t xml:space="preserve">, № 7942/05 и 24838/05, § 80, 4 март 2014 г.; </w:t>
      </w:r>
      <w:proofErr w:type="spellStart"/>
      <w:r w:rsidR="00262152">
        <w:rPr>
          <w:i/>
        </w:rPr>
        <w:t>Aždajić</w:t>
      </w:r>
      <w:proofErr w:type="spellEnd"/>
      <w:r w:rsidR="00262152">
        <w:t xml:space="preserve"> </w:t>
      </w:r>
      <w:r w:rsidR="00262152">
        <w:rPr>
          <w:i/>
        </w:rPr>
        <w:t>v. </w:t>
      </w:r>
      <w:proofErr w:type="spellStart"/>
      <w:r w:rsidR="00262152">
        <w:rPr>
          <w:i/>
        </w:rPr>
        <w:t>Slovenia</w:t>
      </w:r>
      <w:proofErr w:type="spellEnd"/>
      <w:r w:rsidR="00262152">
        <w:t xml:space="preserve">, №. 71872/12, § 53, 8 октомври 2015 г.; и </w:t>
      </w:r>
      <w:proofErr w:type="spellStart"/>
      <w:r w:rsidR="00262152">
        <w:rPr>
          <w:i/>
          <w:iCs/>
        </w:rPr>
        <w:t>Гюлева</w:t>
      </w:r>
      <w:proofErr w:type="spellEnd"/>
      <w:r w:rsidR="00262152">
        <w:rPr>
          <w:i/>
          <w:iCs/>
        </w:rPr>
        <w:t xml:space="preserve"> срещу България</w:t>
      </w:r>
      <w:r w:rsidR="00262152">
        <w:t>, № 38840/08, § 38, 9 юни 2016 г.).</w:t>
      </w:r>
    </w:p>
    <w:p w:rsidR="00547B2D" w:rsidRPr="00F82FC4" w:rsidRDefault="006A3076" w:rsidP="00F82FC4">
      <w:pPr>
        <w:pStyle w:val="JuPara"/>
      </w:pPr>
      <w:r>
        <w:rPr>
          <w:noProof/>
        </w:rPr>
        <w:fldChar w:fldCharType="begin"/>
      </w:r>
      <w:r>
        <w:rPr>
          <w:noProof/>
        </w:rPr>
        <w:instrText xml:space="preserve"> SEQ level0 \*arabic \* MERGEFORMAT </w:instrText>
      </w:r>
      <w:r>
        <w:rPr>
          <w:noProof/>
        </w:rPr>
        <w:fldChar w:fldCharType="separate"/>
      </w:r>
      <w:bookmarkStart w:id="5" w:name="paragraph00008"/>
      <w:r w:rsidR="00F40CCC">
        <w:rPr>
          <w:noProof/>
        </w:rPr>
        <w:t>8</w:t>
      </w:r>
      <w:bookmarkEnd w:id="5"/>
      <w:r>
        <w:rPr>
          <w:noProof/>
        </w:rPr>
        <w:fldChar w:fldCharType="end"/>
      </w:r>
      <w:r w:rsidR="00262152">
        <w:t>.  Освен това, чл. 6 § 1 от Конвенцията не предвижда конкретна форма на връчване на документи, но националните съдилища трябва да положат разумни усилия, за да призоват страните на заседание (</w:t>
      </w:r>
      <w:bookmarkStart w:id="6" w:name="_cl21502"/>
      <w:r w:rsidR="00262152">
        <w:t xml:space="preserve">вж. </w:t>
      </w:r>
      <w:bookmarkStart w:id="7" w:name="_cl39817"/>
      <w:proofErr w:type="spellStart"/>
      <w:r w:rsidR="00262152">
        <w:rPr>
          <w:i/>
        </w:rPr>
        <w:t>Zavodnik</w:t>
      </w:r>
      <w:proofErr w:type="spellEnd"/>
      <w:r w:rsidR="00262152">
        <w:rPr>
          <w:i/>
        </w:rPr>
        <w:t xml:space="preserve"> v. </w:t>
      </w:r>
      <w:proofErr w:type="spellStart"/>
      <w:r w:rsidR="00262152">
        <w:rPr>
          <w:i/>
        </w:rPr>
        <w:t>Slovenia</w:t>
      </w:r>
      <w:bookmarkEnd w:id="7"/>
      <w:proofErr w:type="spellEnd"/>
      <w:r w:rsidR="00262152">
        <w:t xml:space="preserve">, № 53723/13, § 70, 21 </w:t>
      </w:r>
      <w:proofErr w:type="spellStart"/>
      <w:r w:rsidR="00262152">
        <w:t>May</w:t>
      </w:r>
      <w:proofErr w:type="spellEnd"/>
      <w:r w:rsidR="00262152">
        <w:t xml:space="preserve"> 2015, </w:t>
      </w:r>
      <w:proofErr w:type="spellStart"/>
      <w:r w:rsidR="00262152">
        <w:t>and</w:t>
      </w:r>
      <w:proofErr w:type="spellEnd"/>
      <w:r w:rsidR="00262152">
        <w:t xml:space="preserve"> </w:t>
      </w:r>
      <w:proofErr w:type="spellStart"/>
      <w:r w:rsidR="00262152">
        <w:rPr>
          <w:i/>
        </w:rPr>
        <w:t>Bacaksız</w:t>
      </w:r>
      <w:proofErr w:type="spellEnd"/>
      <w:r w:rsidR="00262152">
        <w:rPr>
          <w:i/>
        </w:rPr>
        <w:t xml:space="preserve"> v. </w:t>
      </w:r>
      <w:proofErr w:type="spellStart"/>
      <w:r w:rsidR="00262152">
        <w:rPr>
          <w:i/>
        </w:rPr>
        <w:t>Turkey</w:t>
      </w:r>
      <w:bookmarkEnd w:id="6"/>
      <w:proofErr w:type="spellEnd"/>
      <w:r w:rsidR="00262152">
        <w:t xml:space="preserve">, </w:t>
      </w:r>
      <w:proofErr w:type="spellStart"/>
      <w:r w:rsidR="00262152">
        <w:t>no</w:t>
      </w:r>
      <w:proofErr w:type="spellEnd"/>
      <w:r w:rsidR="00262152">
        <w:t xml:space="preserve">. 24245/09, § 53, 10 </w:t>
      </w:r>
      <w:proofErr w:type="spellStart"/>
      <w:r w:rsidR="00262152">
        <w:t>December</w:t>
      </w:r>
      <w:proofErr w:type="spellEnd"/>
      <w:r w:rsidR="00262152">
        <w:t xml:space="preserve"> 2019). Дори ако страните в </w:t>
      </w:r>
      <w:r w:rsidR="00262152">
        <w:lastRenderedPageBreak/>
        <w:t xml:space="preserve">производството демонстрират известна липса на усърдие, последствията </w:t>
      </w:r>
      <w:r w:rsidR="00FB1E1D">
        <w:t>от</w:t>
      </w:r>
      <w:r w:rsidR="00262152">
        <w:t xml:space="preserve"> тяхното поведение, трябва да бъдат съизмерими с тежестта на техните пропуски и трябва да вземат под внимание основния принцип на справедливо изслушване (вж. </w:t>
      </w:r>
      <w:proofErr w:type="spellStart"/>
      <w:r w:rsidR="00262152">
        <w:rPr>
          <w:i/>
          <w:iCs/>
        </w:rPr>
        <w:t>Aždajić</w:t>
      </w:r>
      <w:proofErr w:type="spellEnd"/>
      <w:r w:rsidR="00262152">
        <w:t xml:space="preserve">, § 71, и </w:t>
      </w:r>
      <w:proofErr w:type="spellStart"/>
      <w:r w:rsidR="00262152">
        <w:rPr>
          <w:i/>
          <w:iCs/>
        </w:rPr>
        <w:t>Гюлева</w:t>
      </w:r>
      <w:proofErr w:type="spellEnd"/>
      <w:r w:rsidR="00262152">
        <w:t>, § 39, и двете цитирани по-горе).</w:t>
      </w:r>
    </w:p>
    <w:p w:rsidR="00547B2D" w:rsidRPr="00F82FC4" w:rsidRDefault="00F82FC4" w:rsidP="00F82FC4">
      <w:pPr>
        <w:pStyle w:val="JuPara"/>
      </w:pPr>
      <w:r w:rsidRPr="00F82FC4">
        <w:fldChar w:fldCharType="begin"/>
      </w:r>
      <w:r w:rsidR="00262152">
        <w:instrText xml:space="preserve"> SEQ level0 \*arabic \* MERGEFORMAT </w:instrText>
      </w:r>
      <w:r w:rsidRPr="00F82FC4">
        <w:fldChar w:fldCharType="separate"/>
      </w:r>
      <w:r w:rsidR="00F40CCC">
        <w:rPr>
          <w:noProof/>
        </w:rPr>
        <w:t>9</w:t>
      </w:r>
      <w:r w:rsidRPr="00F82FC4">
        <w:fldChar w:fldCharType="end"/>
      </w:r>
      <w:r>
        <w:t xml:space="preserve">.  В конкретния случай </w:t>
      </w:r>
      <w:proofErr w:type="spellStart"/>
      <w:r>
        <w:t>жалбоподателката</w:t>
      </w:r>
      <w:proofErr w:type="spellEnd"/>
      <w:r>
        <w:t xml:space="preserve"> не е уведомена своевременно за издадената срещу нея заповед за </w:t>
      </w:r>
      <w:r w:rsidR="00FB1E1D">
        <w:t xml:space="preserve">изпълнение </w:t>
      </w:r>
      <w:r>
        <w:t xml:space="preserve">и не е могла да </w:t>
      </w:r>
      <w:r w:rsidR="00FB1E1D">
        <w:t xml:space="preserve">законосъобразно </w:t>
      </w:r>
      <w:r>
        <w:t xml:space="preserve">да възрази срещу нея. Въпреки това уведомлението </w:t>
      </w:r>
      <w:r w:rsidR="00FB1E1D">
        <w:t>е счетено</w:t>
      </w:r>
      <w:r>
        <w:t xml:space="preserve"> за надлежно връчено и </w:t>
      </w:r>
      <w:proofErr w:type="spellStart"/>
      <w:r>
        <w:t>жалбоподателката</w:t>
      </w:r>
      <w:proofErr w:type="spellEnd"/>
      <w:r>
        <w:t xml:space="preserve"> е задължена да плати по </w:t>
      </w:r>
      <w:r w:rsidR="00FB1E1D">
        <w:t xml:space="preserve">издадения в резултат на това </w:t>
      </w:r>
      <w:r>
        <w:t xml:space="preserve">изпълнителен лист (вж. параграфи </w:t>
      </w:r>
      <w:r w:rsidR="00262152" w:rsidRPr="00F82FC4">
        <w:fldChar w:fldCharType="begin"/>
      </w:r>
      <w:r w:rsidR="00262152" w:rsidRPr="00F82FC4">
        <w:instrText xml:space="preserve"> REF paragraph00002 \h  \* CharFormat </w:instrText>
      </w:r>
      <w:r w:rsidR="00262152" w:rsidRPr="00F82FC4">
        <w:fldChar w:fldCharType="separate"/>
      </w:r>
      <w:r w:rsidR="00F40CCC">
        <w:t>2</w:t>
      </w:r>
      <w:r w:rsidR="00262152" w:rsidRPr="00F82FC4">
        <w:fldChar w:fldCharType="end"/>
      </w:r>
      <w:r>
        <w:t>-</w:t>
      </w:r>
      <w:r w:rsidR="00262152" w:rsidRPr="00F82FC4">
        <w:fldChar w:fldCharType="begin"/>
      </w:r>
      <w:r w:rsidR="00262152" w:rsidRPr="00F82FC4">
        <w:instrText xml:space="preserve"> REF paragraph00004 \h  \* CharFormat </w:instrText>
      </w:r>
      <w:r w:rsidR="00262152" w:rsidRPr="00F82FC4">
        <w:fldChar w:fldCharType="separate"/>
      </w:r>
      <w:r w:rsidR="00F40CCC">
        <w:t>4</w:t>
      </w:r>
      <w:r w:rsidR="00262152" w:rsidRPr="00F82FC4">
        <w:fldChar w:fldCharType="end"/>
      </w:r>
      <w:r>
        <w:t xml:space="preserve"> по-горе).</w:t>
      </w:r>
    </w:p>
    <w:p w:rsidR="00547B2D" w:rsidRPr="00F82FC4" w:rsidRDefault="00F82FC4" w:rsidP="00F82FC4">
      <w:pPr>
        <w:pStyle w:val="JuPara"/>
      </w:pPr>
      <w:r w:rsidRPr="00F82FC4">
        <w:fldChar w:fldCharType="begin"/>
      </w:r>
      <w:r w:rsidR="00262152">
        <w:instrText xml:space="preserve"> SEQ level0 \*arabic \* MERGEFORMAT </w:instrText>
      </w:r>
      <w:r w:rsidRPr="00F82FC4">
        <w:fldChar w:fldCharType="separate"/>
      </w:r>
      <w:r w:rsidR="00F40CCC">
        <w:rPr>
          <w:noProof/>
        </w:rPr>
        <w:t>10</w:t>
      </w:r>
      <w:r w:rsidRPr="00F82FC4">
        <w:fldChar w:fldCharType="end"/>
      </w:r>
      <w:r>
        <w:t>.  Правителството изтъква, че връчването на документи в гражданското производство е „строго формален“ процес и че само определени начини на връчване, както са определени в националното законодателство, могат да се разглеждат като валидни. Според Правителството националните съдилища не могат да бъдат задължени да призовават страни на „всички възможни адреси, споменати случайно в документи по делото“. Освен това случаят се отнася до заповедно производство, което по дефиниция е предназначено да бъде бързо и ефективно.</w:t>
      </w:r>
    </w:p>
    <w:p w:rsidR="00547B2D" w:rsidRPr="00F82FC4" w:rsidRDefault="00F82FC4" w:rsidP="00F82FC4">
      <w:pPr>
        <w:pStyle w:val="JuPara"/>
      </w:pPr>
      <w:r w:rsidRPr="00F82FC4">
        <w:fldChar w:fldCharType="begin"/>
      </w:r>
      <w:r w:rsidR="00262152">
        <w:instrText xml:space="preserve"> SEQ level0 \*arabic \* MERGEFORMAT </w:instrText>
      </w:r>
      <w:r w:rsidRPr="00F82FC4">
        <w:fldChar w:fldCharType="separate"/>
      </w:r>
      <w:r w:rsidR="00F40CCC">
        <w:rPr>
          <w:noProof/>
        </w:rPr>
        <w:t>11</w:t>
      </w:r>
      <w:r w:rsidRPr="00F82FC4">
        <w:fldChar w:fldCharType="end"/>
      </w:r>
      <w:r>
        <w:t>.  </w:t>
      </w:r>
      <w:r w:rsidRPr="009D4DAF">
        <w:t xml:space="preserve">Съдът, от своя страна, повтаря, че националните съдилища са длъжни да положат разумни усилия, за да призоват страните в съдебно производство (вж. параграф </w:t>
      </w:r>
      <w:r w:rsidR="00262152" w:rsidRPr="009D4DAF">
        <w:fldChar w:fldCharType="begin"/>
      </w:r>
      <w:r w:rsidR="00262152" w:rsidRPr="009D4DAF">
        <w:instrText xml:space="preserve"> REF paragraph00008 \h  \* CharFormat </w:instrText>
      </w:r>
      <w:r w:rsidR="00A212B4">
        <w:rPr>
          <w:highlight w:val="magenta"/>
        </w:rPr>
        <w:instrText xml:space="preserve"> \* MERGEFORMAT </w:instrText>
      </w:r>
      <w:r w:rsidR="00262152" w:rsidRPr="009D4DAF">
        <w:fldChar w:fldCharType="separate"/>
      </w:r>
      <w:r w:rsidR="00F40CCC" w:rsidRPr="009D4DAF">
        <w:t>8</w:t>
      </w:r>
      <w:r w:rsidR="00262152" w:rsidRPr="009D4DAF">
        <w:fldChar w:fldCharType="end"/>
      </w:r>
      <w:r w:rsidRPr="009D4DAF">
        <w:t xml:space="preserve"> по-горе). В случая </w:t>
      </w:r>
      <w:proofErr w:type="spellStart"/>
      <w:r w:rsidRPr="009D4DAF">
        <w:t>връчителят</w:t>
      </w:r>
      <w:proofErr w:type="spellEnd"/>
      <w:r w:rsidRPr="009D4DAF">
        <w:t xml:space="preserve"> на Софийски районен съд се е опитал да връчи няколко пъти на адрес, където от самото начало е станало ясно, че </w:t>
      </w:r>
      <w:proofErr w:type="spellStart"/>
      <w:r w:rsidRPr="009D4DAF">
        <w:t>жалбоподателката</w:t>
      </w:r>
      <w:proofErr w:type="spellEnd"/>
      <w:r w:rsidRPr="009D4DAF">
        <w:t xml:space="preserve"> не може да бъде намерена, и в крайна сметка съобщението за заповедта за </w:t>
      </w:r>
      <w:r w:rsidR="00DE4B83">
        <w:t xml:space="preserve">изпълнение </w:t>
      </w:r>
      <w:r w:rsidRPr="009D4DAF">
        <w:t xml:space="preserve"> е сче</w:t>
      </w:r>
      <w:r w:rsidR="00DE4B83">
        <w:t>тено</w:t>
      </w:r>
      <w:r w:rsidRPr="009D4DAF">
        <w:t xml:space="preserve"> за връчено (вж. параграф </w:t>
      </w:r>
      <w:r w:rsidR="00262152" w:rsidRPr="009D4DAF">
        <w:fldChar w:fldCharType="begin"/>
      </w:r>
      <w:r w:rsidR="00262152" w:rsidRPr="009D4DAF">
        <w:instrText xml:space="preserve"> REF paragraph00002 \h  \* CharFormat </w:instrText>
      </w:r>
      <w:r w:rsidR="00A212B4">
        <w:rPr>
          <w:highlight w:val="magenta"/>
        </w:rPr>
        <w:instrText xml:space="preserve"> \* MERGEFORMAT </w:instrText>
      </w:r>
      <w:r w:rsidR="00262152" w:rsidRPr="009D4DAF">
        <w:fldChar w:fldCharType="separate"/>
      </w:r>
      <w:r w:rsidR="00F40CCC" w:rsidRPr="009D4DAF">
        <w:t>2</w:t>
      </w:r>
      <w:r w:rsidR="00262152" w:rsidRPr="009D4DAF">
        <w:fldChar w:fldCharType="end"/>
      </w:r>
      <w:r w:rsidRPr="009D4DAF">
        <w:t xml:space="preserve"> по-горе). В същото време националният съд е имал пр</w:t>
      </w:r>
      <w:r w:rsidR="00DE4B83">
        <w:t>ед</w:t>
      </w:r>
      <w:r w:rsidRPr="009D4DAF">
        <w:t xml:space="preserve"> себе си два други адреса, посочени в основния документ, представен от ищеца, а именно договора за посредничество (пак там), но не се е опитал да връчи уведомлението там, въпреки че е било много по-вероятно </w:t>
      </w:r>
      <w:proofErr w:type="spellStart"/>
      <w:r w:rsidRPr="009D4DAF">
        <w:t>жалбоподателката</w:t>
      </w:r>
      <w:proofErr w:type="spellEnd"/>
      <w:r w:rsidRPr="009D4DAF">
        <w:t xml:space="preserve"> да бъде намерена. Съдът не счита, че усилията, които биха били необходими за опит за връчване на един от тези адреси, са неразумни или тромави, и не може да заключи, че Софийски районен съд е действал усърдно, опитвайки се да уведоми </w:t>
      </w:r>
      <w:proofErr w:type="spellStart"/>
      <w:r w:rsidRPr="009D4DAF">
        <w:t>жалбоподателката</w:t>
      </w:r>
      <w:proofErr w:type="spellEnd"/>
      <w:r w:rsidRPr="009D4DAF">
        <w:t xml:space="preserve"> за производството срещу нея (сравнете подобни съображения в </w:t>
      </w:r>
      <w:proofErr w:type="spellStart"/>
      <w:r w:rsidRPr="009D4DAF">
        <w:rPr>
          <w:i/>
          <w:iCs/>
        </w:rPr>
        <w:t>Bacaksız</w:t>
      </w:r>
      <w:proofErr w:type="spellEnd"/>
      <w:r w:rsidRPr="009D4DAF">
        <w:t>, цитирано по-горе, § 58)</w:t>
      </w:r>
    </w:p>
    <w:p w:rsidR="00547B2D" w:rsidRPr="00F82FC4" w:rsidRDefault="00F82FC4" w:rsidP="00F82FC4">
      <w:pPr>
        <w:pStyle w:val="JuPara"/>
      </w:pPr>
      <w:r w:rsidRPr="00F82FC4">
        <w:fldChar w:fldCharType="begin"/>
      </w:r>
      <w:r w:rsidR="00262152">
        <w:instrText xml:space="preserve"> SEQ level0 \*arabic \* MERGEFORMAT </w:instrText>
      </w:r>
      <w:r w:rsidRPr="00F82FC4">
        <w:fldChar w:fldCharType="separate"/>
      </w:r>
      <w:r w:rsidR="00F40CCC">
        <w:rPr>
          <w:noProof/>
        </w:rPr>
        <w:t>12</w:t>
      </w:r>
      <w:r w:rsidRPr="00F82FC4">
        <w:fldChar w:fldCharType="end"/>
      </w:r>
      <w:r>
        <w:t xml:space="preserve">.  Съдът, от друга страна, се съгласява с допълнителния аргумент на Правителството, че самата </w:t>
      </w:r>
      <w:proofErr w:type="spellStart"/>
      <w:r>
        <w:t>жалбоподателка</w:t>
      </w:r>
      <w:proofErr w:type="spellEnd"/>
      <w:r>
        <w:t xml:space="preserve"> </w:t>
      </w:r>
      <w:r w:rsidR="009A740A">
        <w:t xml:space="preserve">е допринесла </w:t>
      </w:r>
      <w:r>
        <w:t xml:space="preserve">за ситуацията, от която се оплаква, тъй като не е декларирала пред властите промяната на адреса си, при това за дългия период от девет години (вж. параграф </w:t>
      </w:r>
      <w:r w:rsidR="00262152" w:rsidRPr="00F82FC4">
        <w:fldChar w:fldCharType="begin"/>
      </w:r>
      <w:r w:rsidR="00262152" w:rsidRPr="00F82FC4">
        <w:instrText xml:space="preserve"> REF paragraph00002 \h  \* CharFormat </w:instrText>
      </w:r>
      <w:r w:rsidR="00262152" w:rsidRPr="00F82FC4">
        <w:fldChar w:fldCharType="separate"/>
      </w:r>
      <w:r w:rsidR="00F40CCC">
        <w:t>2</w:t>
      </w:r>
      <w:r w:rsidR="00262152" w:rsidRPr="00F82FC4">
        <w:fldChar w:fldCharType="end"/>
      </w:r>
      <w:r>
        <w:t xml:space="preserve"> по-горе). Въпреки това Съдът не е убеден, че това неизпълнение от страна на </w:t>
      </w:r>
      <w:proofErr w:type="spellStart"/>
      <w:r>
        <w:t>жалбоподателката</w:t>
      </w:r>
      <w:proofErr w:type="spellEnd"/>
      <w:r>
        <w:t xml:space="preserve"> е пропорционално на тежестта на претърпените последици, а именно че </w:t>
      </w:r>
      <w:proofErr w:type="spellStart"/>
      <w:r>
        <w:t>жалбоподателката</w:t>
      </w:r>
      <w:proofErr w:type="spellEnd"/>
      <w:r>
        <w:t xml:space="preserve"> така и не е уведомена за производството и заповедта за </w:t>
      </w:r>
      <w:r w:rsidR="009A740A">
        <w:t xml:space="preserve">изпълнение </w:t>
      </w:r>
      <w:r>
        <w:lastRenderedPageBreak/>
        <w:t xml:space="preserve">срещу нея (сравнете още веднъж </w:t>
      </w:r>
      <w:proofErr w:type="spellStart"/>
      <w:r>
        <w:rPr>
          <w:i/>
          <w:iCs/>
        </w:rPr>
        <w:t>Bacaksız</w:t>
      </w:r>
      <w:proofErr w:type="spellEnd"/>
      <w:r>
        <w:t xml:space="preserve">, цитирано по-горе, § 60; също </w:t>
      </w:r>
      <w:proofErr w:type="spellStart"/>
      <w:r>
        <w:rPr>
          <w:i/>
        </w:rPr>
        <w:t>Berestov</w:t>
      </w:r>
      <w:proofErr w:type="spellEnd"/>
      <w:r>
        <w:t>, цитирано по-горе, § 50).</w:t>
      </w:r>
    </w:p>
    <w:p w:rsidR="00547B2D" w:rsidRPr="00F82FC4" w:rsidRDefault="00F82FC4" w:rsidP="00F82FC4">
      <w:pPr>
        <w:pStyle w:val="JuPara"/>
      </w:pPr>
      <w:r w:rsidRPr="00F82FC4">
        <w:fldChar w:fldCharType="begin"/>
      </w:r>
      <w:r w:rsidR="00262152">
        <w:instrText xml:space="preserve"> SEQ level0 \*arabic \* MERGEFORMAT </w:instrText>
      </w:r>
      <w:r w:rsidRPr="00F82FC4">
        <w:fldChar w:fldCharType="separate"/>
      </w:r>
      <w:r w:rsidR="00F40CCC">
        <w:rPr>
          <w:noProof/>
        </w:rPr>
        <w:t>13</w:t>
      </w:r>
      <w:r w:rsidRPr="00F82FC4">
        <w:fldChar w:fldCharType="end"/>
      </w:r>
      <w:r>
        <w:t xml:space="preserve">.  Ясно е, че </w:t>
      </w:r>
      <w:proofErr w:type="spellStart"/>
      <w:r>
        <w:t>жалбоподателката</w:t>
      </w:r>
      <w:proofErr w:type="spellEnd"/>
      <w:r>
        <w:t xml:space="preserve"> не се отказва от правото си да участва в заповедното производство (вж. принципите, описани подробно в параграф </w:t>
      </w:r>
      <w:r w:rsidR="00262152" w:rsidRPr="00F82FC4">
        <w:fldChar w:fldCharType="begin"/>
      </w:r>
      <w:r w:rsidR="00262152" w:rsidRPr="00F82FC4">
        <w:instrText xml:space="preserve"> REF paragraph00007 \h  \* CharFormat </w:instrText>
      </w:r>
      <w:r w:rsidR="00262152" w:rsidRPr="00F82FC4">
        <w:fldChar w:fldCharType="separate"/>
      </w:r>
      <w:r w:rsidR="00F40CCC">
        <w:t>7</w:t>
      </w:r>
      <w:r w:rsidR="00262152" w:rsidRPr="00F82FC4">
        <w:fldChar w:fldCharType="end"/>
      </w:r>
      <w:r>
        <w:t xml:space="preserve"> по-горе). Що се отнася до възможността да получи ново разглеждане на делото (пак там), </w:t>
      </w:r>
      <w:proofErr w:type="spellStart"/>
      <w:r>
        <w:t>жалбоподателката</w:t>
      </w:r>
      <w:proofErr w:type="spellEnd"/>
      <w:r>
        <w:t xml:space="preserve"> прибягва до средството за защита, предвидено в чл. 423</w:t>
      </w:r>
      <w:r w:rsidR="009A740A">
        <w:t>,</w:t>
      </w:r>
      <w:r>
        <w:t xml:space="preserve"> </w:t>
      </w:r>
      <w:r w:rsidR="009A740A">
        <w:t>ал.</w:t>
      </w:r>
      <w:r>
        <w:t xml:space="preserve"> 1 от Гражданския процесуален кодекс (вж. параграф </w:t>
      </w:r>
      <w:r w:rsidR="00262152" w:rsidRPr="00F82FC4">
        <w:fldChar w:fldCharType="begin"/>
      </w:r>
      <w:r w:rsidR="00262152" w:rsidRPr="00F82FC4">
        <w:instrText xml:space="preserve"> REF paragraph00003 \h  \* CharFormat </w:instrText>
      </w:r>
      <w:r w:rsidR="00262152" w:rsidRPr="00F82FC4">
        <w:fldChar w:fldCharType="separate"/>
      </w:r>
      <w:r w:rsidR="00F40CCC">
        <w:t>3</w:t>
      </w:r>
      <w:r w:rsidR="00262152" w:rsidRPr="00F82FC4">
        <w:fldChar w:fldCharType="end"/>
      </w:r>
      <w:r>
        <w:t xml:space="preserve"> по-горе). Софийски градски съд обаче отхвърля аргументите ѝ, като потвърждава, че съобщението за производството </w:t>
      </w:r>
      <w:r w:rsidR="009A740A">
        <w:t xml:space="preserve">следва </w:t>
      </w:r>
      <w:r>
        <w:t xml:space="preserve">да се счита за надлежно връчено, тъй като е оставено на декларирания адрес на </w:t>
      </w:r>
      <w:proofErr w:type="spellStart"/>
      <w:r>
        <w:t>жалбоподателката</w:t>
      </w:r>
      <w:proofErr w:type="spellEnd"/>
      <w:r>
        <w:t xml:space="preserve"> (пак там).</w:t>
      </w:r>
    </w:p>
    <w:p w:rsidR="00547B2D" w:rsidRPr="00F82FC4" w:rsidRDefault="00F82FC4" w:rsidP="00F82FC4">
      <w:pPr>
        <w:pStyle w:val="JuPara"/>
      </w:pPr>
      <w:r w:rsidRPr="00F82FC4">
        <w:fldChar w:fldCharType="begin"/>
      </w:r>
      <w:r w:rsidR="00262152">
        <w:instrText xml:space="preserve"> SEQ level0 \*arabic \* MERGEFORMAT </w:instrText>
      </w:r>
      <w:r w:rsidRPr="00F82FC4">
        <w:fldChar w:fldCharType="separate"/>
      </w:r>
      <w:r w:rsidR="00F40CCC">
        <w:rPr>
          <w:noProof/>
        </w:rPr>
        <w:t>14</w:t>
      </w:r>
      <w:r w:rsidRPr="00F82FC4">
        <w:fldChar w:fldCharType="end"/>
      </w:r>
      <w:r>
        <w:t xml:space="preserve">.  Съдът намира за </w:t>
      </w:r>
      <w:proofErr w:type="spellStart"/>
      <w:r>
        <w:t>относим</w:t>
      </w:r>
      <w:proofErr w:type="spellEnd"/>
      <w:r>
        <w:t xml:space="preserve"> към своя анализ и факта, че Гражданск</w:t>
      </w:r>
      <w:r w:rsidR="009A740A">
        <w:t xml:space="preserve">ият </w:t>
      </w:r>
      <w:r>
        <w:t>процесуалния кодекс междувременно е бил изменен. По-конкретно, през октомври 2017 г. чл. 47</w:t>
      </w:r>
      <w:r w:rsidR="009A740A">
        <w:t>,</w:t>
      </w:r>
      <w:r>
        <w:t xml:space="preserve"> </w:t>
      </w:r>
      <w:r w:rsidR="009A740A">
        <w:t>ал.</w:t>
      </w:r>
      <w:r>
        <w:t xml:space="preserve"> 3 от Кодекса е бил преразгледан, за да позволи връчване на документи на работното място – възможност, използвана в случая от съдебния изпълнител за връчване на изпълнителния лист на </w:t>
      </w:r>
      <w:proofErr w:type="spellStart"/>
      <w:r>
        <w:t>жалбоподателката</w:t>
      </w:r>
      <w:proofErr w:type="spellEnd"/>
      <w:r>
        <w:t xml:space="preserve">, скоро след като е бил издаден (вж. параграф </w:t>
      </w:r>
      <w:r w:rsidR="00262152" w:rsidRPr="00F82FC4">
        <w:fldChar w:fldCharType="begin"/>
      </w:r>
      <w:r w:rsidR="00262152" w:rsidRPr="00F82FC4">
        <w:instrText xml:space="preserve"> REF paragraph00003 \h  \* CharFormat </w:instrText>
      </w:r>
      <w:r w:rsidR="00262152" w:rsidRPr="00F82FC4">
        <w:fldChar w:fldCharType="separate"/>
      </w:r>
      <w:r w:rsidR="00F40CCC">
        <w:t>3</w:t>
      </w:r>
      <w:r w:rsidR="00262152" w:rsidRPr="00F82FC4">
        <w:fldChar w:fldCharType="end"/>
      </w:r>
      <w:r>
        <w:t xml:space="preserve"> по-горе), която не е била налична преди това. Освен това, чл. 415</w:t>
      </w:r>
      <w:r w:rsidR="009A740A">
        <w:t>,</w:t>
      </w:r>
      <w:r>
        <w:t xml:space="preserve"> </w:t>
      </w:r>
      <w:r w:rsidR="009A740A">
        <w:t>ал.</w:t>
      </w:r>
      <w:r>
        <w:t xml:space="preserve"> 1</w:t>
      </w:r>
      <w:r w:rsidR="009A740A">
        <w:t xml:space="preserve">, </w:t>
      </w:r>
      <w:r>
        <w:t xml:space="preserve"> </w:t>
      </w:r>
      <w:r w:rsidR="009A740A">
        <w:t xml:space="preserve">т. </w:t>
      </w:r>
      <w:r>
        <w:t xml:space="preserve">3 от Кодекса, уреждащ изрично заповедното производство, е изменен през 2019 г. Сега той предвижда, че когато съобщението за заповедта е оставено на адрес, където ответникът не е открит, и има данни, че ответникът не живее там, сезираният съд не следва да издава изпълнителен лист, а да укаже на ищеца, че може да започне </w:t>
      </w:r>
      <w:r w:rsidR="005B69AD">
        <w:t xml:space="preserve">исково </w:t>
      </w:r>
      <w:r>
        <w:t xml:space="preserve">производство за </w:t>
      </w:r>
      <w:r w:rsidR="005B69AD">
        <w:t>установяване на вземането си.</w:t>
      </w:r>
    </w:p>
    <w:p w:rsidR="00547B2D" w:rsidRPr="00F82FC4" w:rsidRDefault="00D206DC" w:rsidP="00F82FC4">
      <w:pPr>
        <w:pStyle w:val="JuPara"/>
      </w:pPr>
      <w:fldSimple w:instr=" SEQ level0 \*arabic ">
        <w:r w:rsidR="00F40CCC">
          <w:rPr>
            <w:noProof/>
          </w:rPr>
          <w:t>15</w:t>
        </w:r>
      </w:fldSimple>
      <w:r w:rsidR="00262152">
        <w:t>.  От горното следва, че е налице нарушение на чл. 6 § 1.</w:t>
      </w:r>
    </w:p>
    <w:p w:rsidR="00547B2D" w:rsidRPr="00F82FC4" w:rsidRDefault="00262152" w:rsidP="00F82FC4">
      <w:pPr>
        <w:pStyle w:val="JuHHead"/>
      </w:pPr>
      <w:r>
        <w:t>ПРИЛОЖЕНИЕ НА ЧЛ. 41 ОТ КОНВЕНЦИЯТА</w:t>
      </w:r>
    </w:p>
    <w:p w:rsidR="00547B2D" w:rsidRPr="00F82FC4" w:rsidRDefault="00D206DC" w:rsidP="00F82FC4">
      <w:pPr>
        <w:pStyle w:val="JuPara"/>
      </w:pPr>
      <w:fldSimple w:instr=" SEQ level0 \*arabic ">
        <w:r w:rsidR="00F40CCC">
          <w:rPr>
            <w:noProof/>
          </w:rPr>
          <w:t>16</w:t>
        </w:r>
      </w:fldSimple>
      <w:r w:rsidR="00262152">
        <w:t>.  </w:t>
      </w:r>
      <w:proofErr w:type="spellStart"/>
      <w:r w:rsidR="00262152">
        <w:t>Жалбоподателката</w:t>
      </w:r>
      <w:proofErr w:type="spellEnd"/>
      <w:r w:rsidR="00262152">
        <w:t xml:space="preserve"> претендира като имуществени вреди сумата, която е платила на национално ниво, а именно еквивалента на 1 930 евро (EUR) (вж. параграф </w:t>
      </w:r>
      <w:r w:rsidR="00262152" w:rsidRPr="00F82FC4">
        <w:fldChar w:fldCharType="begin"/>
      </w:r>
      <w:r w:rsidR="00262152" w:rsidRPr="00F82FC4">
        <w:instrText xml:space="preserve"> REF paragraph00004 \h  \* CharFormat </w:instrText>
      </w:r>
      <w:r w:rsidR="00262152" w:rsidRPr="00F82FC4">
        <w:fldChar w:fldCharType="separate"/>
      </w:r>
      <w:r w:rsidR="00F40CCC">
        <w:t>4</w:t>
      </w:r>
      <w:r w:rsidR="00262152" w:rsidRPr="00F82FC4">
        <w:fldChar w:fldCharType="end"/>
      </w:r>
      <w:r w:rsidR="00262152">
        <w:t xml:space="preserve"> по-горе). Правителството не коментира.</w:t>
      </w:r>
    </w:p>
    <w:p w:rsidR="00547B2D" w:rsidRPr="00F82FC4" w:rsidRDefault="00D206DC" w:rsidP="00F82FC4">
      <w:pPr>
        <w:pStyle w:val="JuPara"/>
      </w:pPr>
      <w:fldSimple w:instr=" SEQ level0 \*arabic ">
        <w:r w:rsidR="00F40CCC">
          <w:rPr>
            <w:noProof/>
          </w:rPr>
          <w:t>17</w:t>
        </w:r>
      </w:fldSimple>
      <w:r w:rsidR="00262152">
        <w:t xml:space="preserve">.  Съдът констатира по-горе нарушение на правото на достъп до правосъдие, но не достига до извод относно основателността на иска срещу </w:t>
      </w:r>
      <w:proofErr w:type="spellStart"/>
      <w:r w:rsidR="00262152">
        <w:t>жалбоподателката</w:t>
      </w:r>
      <w:proofErr w:type="spellEnd"/>
      <w:r w:rsidR="00262152">
        <w:t xml:space="preserve">. Следователно не може да заключи, че парите, платени от </w:t>
      </w:r>
      <w:proofErr w:type="spellStart"/>
      <w:r w:rsidR="00262152">
        <w:t>жалбоподателката</w:t>
      </w:r>
      <w:proofErr w:type="spellEnd"/>
      <w:r w:rsidR="00262152">
        <w:t>, са били недължими и че държавата носи отговорност за тях в настоящото производство. Съответно Съдът отхвърля иска.</w:t>
      </w:r>
    </w:p>
    <w:p w:rsidR="00547B2D" w:rsidRPr="00F82FC4" w:rsidRDefault="00F82FC4" w:rsidP="00F82FC4">
      <w:pPr>
        <w:pStyle w:val="JuPara"/>
      </w:pPr>
      <w:r w:rsidRPr="00F82FC4">
        <w:fldChar w:fldCharType="begin"/>
      </w:r>
      <w:r w:rsidR="00262152">
        <w:instrText xml:space="preserve"> SEQ level0 \*arabic \* MERGEFORMAT </w:instrText>
      </w:r>
      <w:r w:rsidRPr="00F82FC4">
        <w:fldChar w:fldCharType="separate"/>
      </w:r>
      <w:r w:rsidR="00F40CCC">
        <w:rPr>
          <w:noProof/>
        </w:rPr>
        <w:t>18</w:t>
      </w:r>
      <w:r w:rsidRPr="00F82FC4">
        <w:fldChar w:fldCharType="end"/>
      </w:r>
      <w:r>
        <w:t>.  </w:t>
      </w:r>
      <w:proofErr w:type="spellStart"/>
      <w:r>
        <w:t>Жалбоподател</w:t>
      </w:r>
      <w:r w:rsidR="005B69AD">
        <w:t>ката</w:t>
      </w:r>
      <w:proofErr w:type="spellEnd"/>
      <w:r>
        <w:t xml:space="preserve"> не претендира неимуществени вреди, нито възстановяване на разходи и разноски.</w:t>
      </w:r>
    </w:p>
    <w:p w:rsidR="00547B2D" w:rsidRPr="00F82FC4" w:rsidRDefault="00262152" w:rsidP="00F82FC4">
      <w:pPr>
        <w:pStyle w:val="JuHHead"/>
      </w:pPr>
      <w:r>
        <w:t>ПО ТЕЗИ СЪОБРАЖЕНИЯ, СЪДЪТ ЕДИНОДУШНО</w:t>
      </w:r>
    </w:p>
    <w:p w:rsidR="00547B2D" w:rsidRPr="00F82FC4" w:rsidRDefault="00262152" w:rsidP="00F82FC4">
      <w:pPr>
        <w:pStyle w:val="JuList"/>
        <w:numPr>
          <w:ilvl w:val="0"/>
          <w:numId w:val="1"/>
        </w:numPr>
      </w:pPr>
      <w:r>
        <w:rPr>
          <w:i/>
          <w:iCs/>
        </w:rPr>
        <w:t>Обявява</w:t>
      </w:r>
      <w:r>
        <w:t xml:space="preserve"> жалбата за допустима;</w:t>
      </w:r>
    </w:p>
    <w:p w:rsidR="00547B2D" w:rsidRPr="00F82FC4" w:rsidRDefault="00262152" w:rsidP="00F82FC4">
      <w:pPr>
        <w:pStyle w:val="JuList"/>
        <w:numPr>
          <w:ilvl w:val="0"/>
          <w:numId w:val="1"/>
        </w:numPr>
      </w:pPr>
      <w:r>
        <w:rPr>
          <w:i/>
          <w:iCs/>
        </w:rPr>
        <w:lastRenderedPageBreak/>
        <w:t>Приема</w:t>
      </w:r>
      <w:r>
        <w:t>, че е налице нарушение на чл. 6 § 1 от Конвенцията;</w:t>
      </w:r>
    </w:p>
    <w:p w:rsidR="004D0EC7" w:rsidRPr="00F82FC4" w:rsidRDefault="00262152" w:rsidP="00F82FC4">
      <w:pPr>
        <w:pStyle w:val="JuList"/>
      </w:pPr>
      <w:r>
        <w:rPr>
          <w:i/>
          <w:iCs/>
        </w:rPr>
        <w:t>Отхвърля</w:t>
      </w:r>
      <w:r>
        <w:t xml:space="preserve"> останалата част от иска на </w:t>
      </w:r>
      <w:proofErr w:type="spellStart"/>
      <w:r>
        <w:t>жалбоподателката</w:t>
      </w:r>
      <w:proofErr w:type="spellEnd"/>
      <w:r>
        <w:t xml:space="preserve"> за справедливо обезщетение.</w:t>
      </w:r>
    </w:p>
    <w:p w:rsidR="008E3A08" w:rsidRPr="00F82FC4" w:rsidRDefault="00262152" w:rsidP="00F82FC4">
      <w:pPr>
        <w:pStyle w:val="JuParaLast"/>
      </w:pPr>
      <w:r>
        <w:t>Изготвено на английски език и оповестено писмено на 16 април 2024 г. в съответствие с правило 77 §§ 2 и 3 от Правилника на Съда.</w:t>
      </w:r>
    </w:p>
    <w:p w:rsidR="007E79A4" w:rsidRPr="00F82FC4" w:rsidRDefault="00262152" w:rsidP="00F82FC4">
      <w:pPr>
        <w:pStyle w:val="JuSigned"/>
      </w:pPr>
      <w:r>
        <w:tab/>
        <w:t xml:space="preserve">Олга </w:t>
      </w:r>
      <w:proofErr w:type="spellStart"/>
      <w:r>
        <w:t>Чернишова</w:t>
      </w:r>
      <w:proofErr w:type="spellEnd"/>
      <w:r>
        <w:tab/>
      </w:r>
      <w:proofErr w:type="spellStart"/>
      <w:r>
        <w:t>Йоанис</w:t>
      </w:r>
      <w:proofErr w:type="spellEnd"/>
      <w:r>
        <w:t xml:space="preserve"> </w:t>
      </w:r>
      <w:proofErr w:type="spellStart"/>
      <w:r>
        <w:t>Ктистакис</w:t>
      </w:r>
      <w:proofErr w:type="spellEnd"/>
      <w:r>
        <w:cr/>
      </w:r>
      <w:r>
        <w:br/>
      </w:r>
      <w:r>
        <w:tab/>
        <w:t>Заместник-секретар</w:t>
      </w:r>
      <w:r>
        <w:tab/>
        <w:t>Председател</w:t>
      </w:r>
    </w:p>
    <w:sectPr w:rsidR="007E79A4" w:rsidRPr="00F82FC4" w:rsidSect="005F4059">
      <w:headerReference w:type="even" r:id="rId12"/>
      <w:headerReference w:type="default" r:id="rId13"/>
      <w:footerReference w:type="even" r:id="rId14"/>
      <w:footerReference w:type="default" r:id="rId15"/>
      <w:footnotePr>
        <w:numRestart w:val="eachSect"/>
      </w:footnotePr>
      <w:pgSz w:w="11906" w:h="16838" w:code="9"/>
      <w:pgMar w:top="2274" w:right="2274" w:bottom="2127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CC1" w:rsidRDefault="00A30CC1">
      <w:r>
        <w:separator/>
      </w:r>
    </w:p>
  </w:endnote>
  <w:endnote w:type="continuationSeparator" w:id="0">
    <w:p w:rsidR="00A30CC1" w:rsidRDefault="00A3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B2D" w:rsidRPr="00150BFA" w:rsidRDefault="00262152" w:rsidP="0020718E">
    <w:pPr>
      <w:jc w:val="center"/>
    </w:pPr>
    <w:r>
      <w:rPr>
        <w:noProof/>
        <w:lang w:eastAsia="bg-BG"/>
      </w:rPr>
      <w:drawing>
        <wp:inline distT="0" distB="0" distL="0" distR="0">
          <wp:extent cx="771525" cy="619125"/>
          <wp:effectExtent l="0" t="0" r="9525" b="9525"/>
          <wp:docPr id="50" name="Picture 50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410D" w:rsidRPr="00547B2D" w:rsidRDefault="0098410D" w:rsidP="00AF12C5">
    <w:pPr>
      <w:pStyle w:val="Footer0"/>
      <w:jc w:val="cen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B2D" w:rsidRPr="00150BFA" w:rsidRDefault="00262152" w:rsidP="0020718E">
    <w:pPr>
      <w:jc w:val="center"/>
    </w:pPr>
    <w:r>
      <w:rPr>
        <w:noProof/>
        <w:lang w:eastAsia="bg-BG"/>
      </w:rPr>
      <w:drawing>
        <wp:inline distT="0" distB="0" distL="0" distR="0">
          <wp:extent cx="771525" cy="619125"/>
          <wp:effectExtent l="0" t="0" r="9525" b="9525"/>
          <wp:docPr id="48" name="Picture 48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7A6F" w:rsidRPr="00547B2D" w:rsidRDefault="009E7A6F" w:rsidP="009E7A6F">
    <w:pPr>
      <w:pStyle w:val="Footer0"/>
      <w:jc w:val="cen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EBA" w:rsidRDefault="00262152" w:rsidP="009A115C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E33B1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EBA" w:rsidRPr="000B7195" w:rsidRDefault="00262152" w:rsidP="007D3701">
    <w:pPr>
      <w:pStyle w:val="JuHeader"/>
    </w:pPr>
    <w:r>
      <w:fldChar w:fldCharType="begin"/>
    </w:r>
    <w:r>
      <w:instrText xml:space="preserve"> PAGE </w:instrText>
    </w:r>
    <w:r>
      <w:fldChar w:fldCharType="separate"/>
    </w:r>
    <w:r w:rsidR="00BE33B1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CC1" w:rsidRDefault="00A30CC1">
      <w:r>
        <w:separator/>
      </w:r>
    </w:p>
  </w:footnote>
  <w:footnote w:type="continuationSeparator" w:id="0">
    <w:p w:rsidR="00A30CC1" w:rsidRDefault="00A30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B2D" w:rsidRPr="00A45145" w:rsidRDefault="00262152" w:rsidP="00A45145">
    <w:pPr>
      <w:jc w:val="center"/>
    </w:pPr>
    <w:r>
      <w:rPr>
        <w:noProof/>
        <w:lang w:eastAsia="bg-BG"/>
      </w:rPr>
      <w:drawing>
        <wp:inline distT="0" distB="0" distL="0" distR="0">
          <wp:extent cx="2962275" cy="1219200"/>
          <wp:effectExtent l="0" t="0" r="9525" b="0"/>
          <wp:docPr id="1" name="Picture 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410D" w:rsidRPr="00547B2D" w:rsidRDefault="0098410D" w:rsidP="00B14793">
    <w:pPr>
      <w:jc w:val="cent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B2D" w:rsidRPr="00A45145" w:rsidRDefault="00262152" w:rsidP="00A45145">
    <w:pPr>
      <w:jc w:val="center"/>
    </w:pPr>
    <w:r>
      <w:rPr>
        <w:noProof/>
        <w:lang w:eastAsia="bg-BG"/>
      </w:rPr>
      <w:drawing>
        <wp:inline distT="0" distB="0" distL="0" distR="0">
          <wp:extent cx="2962275" cy="1219200"/>
          <wp:effectExtent l="0" t="0" r="9525" b="0"/>
          <wp:docPr id="43" name="Picture 43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410D" w:rsidRPr="00547B2D" w:rsidRDefault="0098410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EBA" w:rsidRPr="004D0EC7" w:rsidRDefault="00262152" w:rsidP="004D0EC7">
    <w:pPr>
      <w:pStyle w:val="JuHeader"/>
    </w:pPr>
    <w:r>
      <w:t>РЕШЕНИЕ МАРКОВА СРЕЩУ БЪЛГАРИЯ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EBA" w:rsidRPr="00882CD5" w:rsidRDefault="00262152" w:rsidP="007D3701">
    <w:pPr>
      <w:pStyle w:val="JuHeader"/>
    </w:pPr>
    <w:r>
      <w:t>РЕШЕНИЕ</w:t>
    </w:r>
    <w:r w:rsidR="002256F6">
      <w:t xml:space="preserve"> ПО ДЕЛО</w:t>
    </w:r>
    <w:r>
      <w:t xml:space="preserve"> </w:t>
    </w:r>
    <w:r w:rsidR="002256F6">
      <w:t>„</w:t>
    </w:r>
    <w:r>
      <w:t>МАРКОВА СРЕЩУ БЪЛГАРИЯ</w:t>
    </w:r>
    <w:r w:rsidR="002256F6"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8F2261"/>
    <w:multiLevelType w:val="multilevel"/>
    <w:tmpl w:val="C8FE6436"/>
    <w:numStyleLink w:val="ECHRA1StyleList"/>
  </w:abstractNum>
  <w:abstractNum w:abstractNumId="10" w15:restartNumberingAfterBreak="0">
    <w:nsid w:val="0C0F5BFC"/>
    <w:multiLevelType w:val="multilevel"/>
    <w:tmpl w:val="E2B270DC"/>
    <w:lvl w:ilvl="0">
      <w:start w:val="1"/>
      <w:numFmt w:val="none"/>
      <w:pStyle w:val="JuHHea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JuHIRoman"/>
      <w:lvlText w:val="%2."/>
      <w:lvlJc w:val="left"/>
      <w:pPr>
        <w:ind w:left="369" w:hanging="369"/>
      </w:pPr>
      <w:rPr>
        <w:rFonts w:hint="default"/>
      </w:rPr>
    </w:lvl>
    <w:lvl w:ilvl="2">
      <w:start w:val="1"/>
      <w:numFmt w:val="upperLetter"/>
      <w:pStyle w:val="JuHA"/>
      <w:lvlText w:val="%3."/>
      <w:lvlJc w:val="left"/>
      <w:pPr>
        <w:ind w:left="510" w:hanging="340"/>
      </w:pPr>
      <w:rPr>
        <w:rFonts w:hint="default"/>
      </w:rPr>
    </w:lvl>
    <w:lvl w:ilvl="3">
      <w:start w:val="1"/>
      <w:numFmt w:val="decimal"/>
      <w:pStyle w:val="JuH1"/>
      <w:lvlText w:val="%4."/>
      <w:lvlJc w:val="left"/>
      <w:pPr>
        <w:ind w:left="680" w:hanging="340"/>
      </w:pPr>
      <w:rPr>
        <w:rFonts w:hint="default"/>
      </w:rPr>
    </w:lvl>
    <w:lvl w:ilvl="4">
      <w:start w:val="1"/>
      <w:numFmt w:val="lowerLetter"/>
      <w:pStyle w:val="JuHa0"/>
      <w:lvlText w:val="(%5)"/>
      <w:lvlJc w:val="left"/>
      <w:pPr>
        <w:ind w:left="851" w:hanging="341"/>
      </w:pPr>
      <w:rPr>
        <w:rFonts w:hint="default"/>
      </w:rPr>
    </w:lvl>
    <w:lvl w:ilvl="5">
      <w:start w:val="1"/>
      <w:numFmt w:val="lowerRoman"/>
      <w:pStyle w:val="JuHi"/>
      <w:lvlText w:val="(%6)"/>
      <w:lvlJc w:val="left"/>
      <w:pPr>
        <w:ind w:left="1021" w:hanging="341"/>
      </w:pPr>
      <w:rPr>
        <w:rFonts w:hint="default"/>
      </w:rPr>
    </w:lvl>
    <w:lvl w:ilvl="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JuHalpha"/>
      <w:lvlText w:val="(%7)"/>
      <w:lvlJc w:val="left"/>
      <w:pPr>
        <w:ind w:left="1247" w:hanging="396"/>
      </w:pPr>
      <w:rPr>
        <w:rFonts w:asciiTheme="minorHAnsi" w:hAnsiTheme="minorHAnsi" w:hint="default"/>
        <w:b w:val="0"/>
        <w:i w:val="0"/>
      </w:rPr>
    </w:lvl>
    <w:lvl w:ilvl="7">
      <w:start w:val="1"/>
      <w:numFmt w:val="bullet"/>
      <w:pStyle w:val="JuH"/>
      <w:lvlText w:val="‒"/>
      <w:lvlJc w:val="left"/>
      <w:pPr>
        <w:ind w:left="1247" w:hanging="226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pStyle w:val="ECHRHeading9"/>
      <w:lvlText w:val="▪"/>
      <w:lvlJc w:val="left"/>
      <w:pPr>
        <w:ind w:left="1361" w:hanging="170"/>
      </w:pPr>
      <w:rPr>
        <w:rFonts w:ascii="Times New Roman" w:hAnsi="Times New Roman" w:cs="Times New Roman" w:hint="default"/>
        <w:color w:val="auto"/>
      </w:rPr>
    </w:lvl>
  </w:abstractNum>
  <w:abstractNum w:abstractNumId="11" w15:restartNumberingAfterBreak="0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D5546B"/>
    <w:multiLevelType w:val="multilevel"/>
    <w:tmpl w:val="C8FE6436"/>
    <w:styleLink w:val="ECHRA1StyleList"/>
    <w:lvl w:ilvl="0">
      <w:start w:val="1"/>
      <w:numFmt w:val="decimal"/>
      <w:pStyle w:val="Ju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JuLista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JuListi"/>
      <w:suff w:val="space"/>
      <w:lvlText w:val="(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89571C"/>
    <w:multiLevelType w:val="multilevel"/>
    <w:tmpl w:val="EFC26858"/>
    <w:styleLink w:val="ECHRA1StyleBulletedSquare"/>
    <w:lvl w:ilvl="0">
      <w:start w:val="1"/>
      <w:numFmt w:val="bullet"/>
      <w:pStyle w:val="ECHRBullet1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FFFFFF" w:themeColor="background1"/>
      </w:rPr>
    </w:lvl>
    <w:lvl w:ilvl="1">
      <w:start w:val="1"/>
      <w:numFmt w:val="bullet"/>
      <w:pStyle w:val="ECHRBullet2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FFFFFF" w:themeColor="background1"/>
      </w:rPr>
    </w:lvl>
    <w:lvl w:ilvl="2">
      <w:start w:val="1"/>
      <w:numFmt w:val="bullet"/>
      <w:pStyle w:val="ECHRBullet3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pStyle w:val="ECHRBullet4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FFFFFF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16" w15:restartNumberingAfterBreak="0">
    <w:nsid w:val="5032512D"/>
    <w:multiLevelType w:val="multilevel"/>
    <w:tmpl w:val="9B34AC6C"/>
    <w:styleLink w:val="ECHRA1StyleNumberedList"/>
    <w:lvl w:ilvl="0">
      <w:start w:val="1"/>
      <w:numFmt w:val="decimal"/>
      <w:pStyle w:val="ECHRNumberedList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ECHRNumberedList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ECHRNumberedList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7" w15:restartNumberingAfterBreak="0">
    <w:nsid w:val="67FD1241"/>
    <w:multiLevelType w:val="hybridMultilevel"/>
    <w:tmpl w:val="F6D86CC2"/>
    <w:lvl w:ilvl="0" w:tplc="05BA029C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7CB6C8AA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E82C0BA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1F846192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8F7C22AC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786C3E28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D6EE130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380EEB58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10587FD2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1"/>
  </w:num>
  <w:num w:numId="5">
    <w:abstractNumId w:val="17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3"/>
  </w:num>
  <w:num w:numId="17">
    <w:abstractNumId w:val="16"/>
  </w:num>
  <w:num w:numId="18">
    <w:abstractNumId w:val="15"/>
  </w:num>
  <w:num w:numId="19">
    <w:abstractNumId w:val="16"/>
  </w:num>
  <w:num w:numId="20">
    <w:abstractNumId w:val="10"/>
  </w:num>
  <w:num w:numId="21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1"/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Plural" w:val="0"/>
    <w:docVar w:name="SignForeName" w:val="0"/>
    <w:docVar w:name="SndCaseNumber" w:val="Error!Nodocumentvariablesupplied."/>
  </w:docVars>
  <w:rsids>
    <w:rsidRoot w:val="00547B2D"/>
    <w:rsid w:val="000041F8"/>
    <w:rsid w:val="000042A8"/>
    <w:rsid w:val="00004308"/>
    <w:rsid w:val="00005BF0"/>
    <w:rsid w:val="0000617D"/>
    <w:rsid w:val="00007154"/>
    <w:rsid w:val="000103AE"/>
    <w:rsid w:val="00011D69"/>
    <w:rsid w:val="00012AD3"/>
    <w:rsid w:val="00015C2D"/>
    <w:rsid w:val="00015F00"/>
    <w:rsid w:val="00022C1D"/>
    <w:rsid w:val="0002592F"/>
    <w:rsid w:val="00031428"/>
    <w:rsid w:val="00034987"/>
    <w:rsid w:val="00041560"/>
    <w:rsid w:val="000602DF"/>
    <w:rsid w:val="00061B05"/>
    <w:rsid w:val="000632D5"/>
    <w:rsid w:val="000644EE"/>
    <w:rsid w:val="000712E3"/>
    <w:rsid w:val="0007780A"/>
    <w:rsid w:val="00085457"/>
    <w:rsid w:val="000925AD"/>
    <w:rsid w:val="00096FE1"/>
    <w:rsid w:val="00097A62"/>
    <w:rsid w:val="000A24EB"/>
    <w:rsid w:val="000B0FE4"/>
    <w:rsid w:val="000B686A"/>
    <w:rsid w:val="000B6923"/>
    <w:rsid w:val="000B7195"/>
    <w:rsid w:val="000C5F3C"/>
    <w:rsid w:val="000C6DCC"/>
    <w:rsid w:val="000D47AA"/>
    <w:rsid w:val="000D721F"/>
    <w:rsid w:val="000E069B"/>
    <w:rsid w:val="000E0E82"/>
    <w:rsid w:val="000E1DC5"/>
    <w:rsid w:val="000E223F"/>
    <w:rsid w:val="000E46B8"/>
    <w:rsid w:val="000E7D45"/>
    <w:rsid w:val="000F52F4"/>
    <w:rsid w:val="000F7851"/>
    <w:rsid w:val="00101505"/>
    <w:rsid w:val="00104E23"/>
    <w:rsid w:val="00110DA8"/>
    <w:rsid w:val="00111B0C"/>
    <w:rsid w:val="00116BCA"/>
    <w:rsid w:val="00120D6C"/>
    <w:rsid w:val="001257EC"/>
    <w:rsid w:val="00133D33"/>
    <w:rsid w:val="00134B6A"/>
    <w:rsid w:val="00134D64"/>
    <w:rsid w:val="00135A30"/>
    <w:rsid w:val="0013612C"/>
    <w:rsid w:val="0013772A"/>
    <w:rsid w:val="00137FF6"/>
    <w:rsid w:val="00141650"/>
    <w:rsid w:val="00150BFA"/>
    <w:rsid w:val="001561B6"/>
    <w:rsid w:val="00162A12"/>
    <w:rsid w:val="00166530"/>
    <w:rsid w:val="00170027"/>
    <w:rsid w:val="00182EBA"/>
    <w:rsid w:val="001832BD"/>
    <w:rsid w:val="001943B5"/>
    <w:rsid w:val="00195134"/>
    <w:rsid w:val="001A020C"/>
    <w:rsid w:val="001A145B"/>
    <w:rsid w:val="001A3E09"/>
    <w:rsid w:val="001A674C"/>
    <w:rsid w:val="001B3B24"/>
    <w:rsid w:val="001C055B"/>
    <w:rsid w:val="001C0F98"/>
    <w:rsid w:val="001C2A42"/>
    <w:rsid w:val="001D63ED"/>
    <w:rsid w:val="001D7348"/>
    <w:rsid w:val="001E035B"/>
    <w:rsid w:val="001E0961"/>
    <w:rsid w:val="001E3EAE"/>
    <w:rsid w:val="001E6857"/>
    <w:rsid w:val="001E6F32"/>
    <w:rsid w:val="001F2145"/>
    <w:rsid w:val="001F6262"/>
    <w:rsid w:val="001F67B0"/>
    <w:rsid w:val="001F7B3D"/>
    <w:rsid w:val="00202752"/>
    <w:rsid w:val="0020335A"/>
    <w:rsid w:val="002052BC"/>
    <w:rsid w:val="00205F9F"/>
    <w:rsid w:val="0020718E"/>
    <w:rsid w:val="00210338"/>
    <w:rsid w:val="002115FC"/>
    <w:rsid w:val="0021423C"/>
    <w:rsid w:val="002256F6"/>
    <w:rsid w:val="00226C89"/>
    <w:rsid w:val="00230D00"/>
    <w:rsid w:val="00231DF7"/>
    <w:rsid w:val="00231FD1"/>
    <w:rsid w:val="002339E0"/>
    <w:rsid w:val="00233CF8"/>
    <w:rsid w:val="0023575D"/>
    <w:rsid w:val="00237148"/>
    <w:rsid w:val="0024222D"/>
    <w:rsid w:val="002422B6"/>
    <w:rsid w:val="00244B0E"/>
    <w:rsid w:val="00244F6C"/>
    <w:rsid w:val="00246B89"/>
    <w:rsid w:val="00252C4E"/>
    <w:rsid w:val="002532C5"/>
    <w:rsid w:val="00254DF2"/>
    <w:rsid w:val="00260C03"/>
    <w:rsid w:val="00262152"/>
    <w:rsid w:val="0026439A"/>
    <w:rsid w:val="0026540E"/>
    <w:rsid w:val="00275123"/>
    <w:rsid w:val="00281B7C"/>
    <w:rsid w:val="00282240"/>
    <w:rsid w:val="00282BD8"/>
    <w:rsid w:val="00287AD5"/>
    <w:rsid w:val="002934D0"/>
    <w:rsid w:val="00293676"/>
    <w:rsid w:val="00293BD9"/>
    <w:rsid w:val="002948AD"/>
    <w:rsid w:val="002A01CC"/>
    <w:rsid w:val="002A613A"/>
    <w:rsid w:val="002A61B1"/>
    <w:rsid w:val="002A663C"/>
    <w:rsid w:val="002B444B"/>
    <w:rsid w:val="002B5887"/>
    <w:rsid w:val="002B5B43"/>
    <w:rsid w:val="002C0E27"/>
    <w:rsid w:val="002C3040"/>
    <w:rsid w:val="002C4433"/>
    <w:rsid w:val="002C5ADD"/>
    <w:rsid w:val="002C7826"/>
    <w:rsid w:val="002D022D"/>
    <w:rsid w:val="002D24BB"/>
    <w:rsid w:val="002D2FA7"/>
    <w:rsid w:val="002D47BA"/>
    <w:rsid w:val="002D77B9"/>
    <w:rsid w:val="002E46DA"/>
    <w:rsid w:val="002E7764"/>
    <w:rsid w:val="002F2AF7"/>
    <w:rsid w:val="002F69C4"/>
    <w:rsid w:val="002F7D9E"/>
    <w:rsid w:val="002F7E1C"/>
    <w:rsid w:val="00301A75"/>
    <w:rsid w:val="00302F70"/>
    <w:rsid w:val="0030336F"/>
    <w:rsid w:val="0030375E"/>
    <w:rsid w:val="00312A30"/>
    <w:rsid w:val="003201D8"/>
    <w:rsid w:val="00320F72"/>
    <w:rsid w:val="0032463E"/>
    <w:rsid w:val="00326224"/>
    <w:rsid w:val="003317FA"/>
    <w:rsid w:val="00337EE4"/>
    <w:rsid w:val="00340FFD"/>
    <w:rsid w:val="00345C41"/>
    <w:rsid w:val="003506B1"/>
    <w:rsid w:val="00355877"/>
    <w:rsid w:val="00356AC7"/>
    <w:rsid w:val="003609FA"/>
    <w:rsid w:val="003710C8"/>
    <w:rsid w:val="003750BE"/>
    <w:rsid w:val="003832F3"/>
    <w:rsid w:val="00385A36"/>
    <w:rsid w:val="00385F3D"/>
    <w:rsid w:val="0038740C"/>
    <w:rsid w:val="00387B9D"/>
    <w:rsid w:val="00387C70"/>
    <w:rsid w:val="00390294"/>
    <w:rsid w:val="0039364F"/>
    <w:rsid w:val="00396686"/>
    <w:rsid w:val="0039778E"/>
    <w:rsid w:val="003A44DD"/>
    <w:rsid w:val="003B4941"/>
    <w:rsid w:val="003C5714"/>
    <w:rsid w:val="003C6B9F"/>
    <w:rsid w:val="003C6E2A"/>
    <w:rsid w:val="003D0299"/>
    <w:rsid w:val="003E6D80"/>
    <w:rsid w:val="003E7BCC"/>
    <w:rsid w:val="003F05FA"/>
    <w:rsid w:val="003F244A"/>
    <w:rsid w:val="003F2517"/>
    <w:rsid w:val="003F30B8"/>
    <w:rsid w:val="003F4C45"/>
    <w:rsid w:val="003F5F7B"/>
    <w:rsid w:val="003F7D64"/>
    <w:rsid w:val="00401A75"/>
    <w:rsid w:val="0040433A"/>
    <w:rsid w:val="00414300"/>
    <w:rsid w:val="00414F27"/>
    <w:rsid w:val="00415D51"/>
    <w:rsid w:val="00420703"/>
    <w:rsid w:val="00425C67"/>
    <w:rsid w:val="00427E7A"/>
    <w:rsid w:val="004355AC"/>
    <w:rsid w:val="00436C49"/>
    <w:rsid w:val="00443D98"/>
    <w:rsid w:val="00445366"/>
    <w:rsid w:val="00447F5B"/>
    <w:rsid w:val="00461DB0"/>
    <w:rsid w:val="00463926"/>
    <w:rsid w:val="00464AB7"/>
    <w:rsid w:val="00464C9A"/>
    <w:rsid w:val="00474F3D"/>
    <w:rsid w:val="00477E3A"/>
    <w:rsid w:val="00483E5F"/>
    <w:rsid w:val="00485FF9"/>
    <w:rsid w:val="0048684E"/>
    <w:rsid w:val="0049049B"/>
    <w:rsid w:val="004907F0"/>
    <w:rsid w:val="0049140B"/>
    <w:rsid w:val="004923A5"/>
    <w:rsid w:val="0049310E"/>
    <w:rsid w:val="004950E2"/>
    <w:rsid w:val="00496BFB"/>
    <w:rsid w:val="004A15C7"/>
    <w:rsid w:val="004A3201"/>
    <w:rsid w:val="004A7044"/>
    <w:rsid w:val="004B013B"/>
    <w:rsid w:val="004B112B"/>
    <w:rsid w:val="004B444E"/>
    <w:rsid w:val="004C01E4"/>
    <w:rsid w:val="004C086C"/>
    <w:rsid w:val="004C1F56"/>
    <w:rsid w:val="004C27BC"/>
    <w:rsid w:val="004C6621"/>
    <w:rsid w:val="004D0EC7"/>
    <w:rsid w:val="004D15F3"/>
    <w:rsid w:val="004D3B3D"/>
    <w:rsid w:val="004D4EF1"/>
    <w:rsid w:val="004D5311"/>
    <w:rsid w:val="004D5DCC"/>
    <w:rsid w:val="004D7E45"/>
    <w:rsid w:val="004F10AF"/>
    <w:rsid w:val="004F11A4"/>
    <w:rsid w:val="004F2389"/>
    <w:rsid w:val="004F304D"/>
    <w:rsid w:val="004F4290"/>
    <w:rsid w:val="004F61BE"/>
    <w:rsid w:val="004F66B1"/>
    <w:rsid w:val="00505F69"/>
    <w:rsid w:val="00507FB7"/>
    <w:rsid w:val="00511C07"/>
    <w:rsid w:val="005125CB"/>
    <w:rsid w:val="00512EC4"/>
    <w:rsid w:val="0051725A"/>
    <w:rsid w:val="005173A6"/>
    <w:rsid w:val="00517BB8"/>
    <w:rsid w:val="00520354"/>
    <w:rsid w:val="00520BAA"/>
    <w:rsid w:val="005217D8"/>
    <w:rsid w:val="00525208"/>
    <w:rsid w:val="005257A5"/>
    <w:rsid w:val="005264C0"/>
    <w:rsid w:val="00526A8A"/>
    <w:rsid w:val="00527FB1"/>
    <w:rsid w:val="00530FE6"/>
    <w:rsid w:val="00531DF2"/>
    <w:rsid w:val="0053315C"/>
    <w:rsid w:val="00537476"/>
    <w:rsid w:val="005442EE"/>
    <w:rsid w:val="00545DA6"/>
    <w:rsid w:val="00547353"/>
    <w:rsid w:val="005474E7"/>
    <w:rsid w:val="00547B2D"/>
    <w:rsid w:val="005512A3"/>
    <w:rsid w:val="005578CE"/>
    <w:rsid w:val="00562781"/>
    <w:rsid w:val="00562B6C"/>
    <w:rsid w:val="0057271C"/>
    <w:rsid w:val="00572845"/>
    <w:rsid w:val="005879A2"/>
    <w:rsid w:val="00592772"/>
    <w:rsid w:val="0059574A"/>
    <w:rsid w:val="005A1B9B"/>
    <w:rsid w:val="005A2221"/>
    <w:rsid w:val="005A2E79"/>
    <w:rsid w:val="005A6751"/>
    <w:rsid w:val="005B092E"/>
    <w:rsid w:val="005B152C"/>
    <w:rsid w:val="005B1EE0"/>
    <w:rsid w:val="005B2B24"/>
    <w:rsid w:val="005B4425"/>
    <w:rsid w:val="005B4B94"/>
    <w:rsid w:val="005B69AD"/>
    <w:rsid w:val="005C2C62"/>
    <w:rsid w:val="005C3EE8"/>
    <w:rsid w:val="005D2F2A"/>
    <w:rsid w:val="005D34F9"/>
    <w:rsid w:val="005D4190"/>
    <w:rsid w:val="005D67A3"/>
    <w:rsid w:val="005E2988"/>
    <w:rsid w:val="005E3085"/>
    <w:rsid w:val="005F0EB3"/>
    <w:rsid w:val="005F4059"/>
    <w:rsid w:val="005F51E1"/>
    <w:rsid w:val="00611C80"/>
    <w:rsid w:val="00620692"/>
    <w:rsid w:val="006242CA"/>
    <w:rsid w:val="00627507"/>
    <w:rsid w:val="00633717"/>
    <w:rsid w:val="006344E1"/>
    <w:rsid w:val="00643524"/>
    <w:rsid w:val="0064393B"/>
    <w:rsid w:val="00645CF2"/>
    <w:rsid w:val="006545C4"/>
    <w:rsid w:val="00661971"/>
    <w:rsid w:val="00661CE8"/>
    <w:rsid w:val="006623D9"/>
    <w:rsid w:val="006642A5"/>
    <w:rsid w:val="0066550C"/>
    <w:rsid w:val="00665BD2"/>
    <w:rsid w:val="006716F2"/>
    <w:rsid w:val="00675AF2"/>
    <w:rsid w:val="0068296A"/>
    <w:rsid w:val="00682BF2"/>
    <w:rsid w:val="0068573E"/>
    <w:rsid w:val="006859CE"/>
    <w:rsid w:val="00691270"/>
    <w:rsid w:val="00694BA8"/>
    <w:rsid w:val="006A037C"/>
    <w:rsid w:val="006A0C84"/>
    <w:rsid w:val="006A3076"/>
    <w:rsid w:val="006A36F4"/>
    <w:rsid w:val="006A406F"/>
    <w:rsid w:val="006A4E97"/>
    <w:rsid w:val="006A5D3A"/>
    <w:rsid w:val="006B1942"/>
    <w:rsid w:val="006C23D4"/>
    <w:rsid w:val="006C7BB0"/>
    <w:rsid w:val="006D3237"/>
    <w:rsid w:val="006E2E37"/>
    <w:rsid w:val="006E3CF1"/>
    <w:rsid w:val="006E68A3"/>
    <w:rsid w:val="006E7E80"/>
    <w:rsid w:val="006F1C2D"/>
    <w:rsid w:val="006F48CA"/>
    <w:rsid w:val="006F64DD"/>
    <w:rsid w:val="006F712D"/>
    <w:rsid w:val="007074A2"/>
    <w:rsid w:val="00715127"/>
    <w:rsid w:val="00715E8E"/>
    <w:rsid w:val="00723580"/>
    <w:rsid w:val="00723755"/>
    <w:rsid w:val="0073136C"/>
    <w:rsid w:val="00731F0F"/>
    <w:rsid w:val="00733250"/>
    <w:rsid w:val="00741404"/>
    <w:rsid w:val="007429E3"/>
    <w:rsid w:val="007449E5"/>
    <w:rsid w:val="0074750E"/>
    <w:rsid w:val="00747FF0"/>
    <w:rsid w:val="00751066"/>
    <w:rsid w:val="0075566E"/>
    <w:rsid w:val="00763602"/>
    <w:rsid w:val="00764D4E"/>
    <w:rsid w:val="00765A1F"/>
    <w:rsid w:val="00775B6D"/>
    <w:rsid w:val="00776D68"/>
    <w:rsid w:val="00781140"/>
    <w:rsid w:val="0078323E"/>
    <w:rsid w:val="007849C2"/>
    <w:rsid w:val="007850EE"/>
    <w:rsid w:val="00785B95"/>
    <w:rsid w:val="00790E96"/>
    <w:rsid w:val="007926FD"/>
    <w:rsid w:val="00793366"/>
    <w:rsid w:val="0079666C"/>
    <w:rsid w:val="007A716F"/>
    <w:rsid w:val="007B270A"/>
    <w:rsid w:val="007B4182"/>
    <w:rsid w:val="007C0695"/>
    <w:rsid w:val="007C419A"/>
    <w:rsid w:val="007C4CC8"/>
    <w:rsid w:val="007C5426"/>
    <w:rsid w:val="007C5798"/>
    <w:rsid w:val="007D1ECD"/>
    <w:rsid w:val="007D3701"/>
    <w:rsid w:val="007D4832"/>
    <w:rsid w:val="007D4F17"/>
    <w:rsid w:val="007E21B2"/>
    <w:rsid w:val="007E2C4E"/>
    <w:rsid w:val="007E2C8C"/>
    <w:rsid w:val="007E51BA"/>
    <w:rsid w:val="007E73D7"/>
    <w:rsid w:val="007E79A4"/>
    <w:rsid w:val="007F1905"/>
    <w:rsid w:val="007F27E4"/>
    <w:rsid w:val="007F3437"/>
    <w:rsid w:val="00802C64"/>
    <w:rsid w:val="00805E52"/>
    <w:rsid w:val="008061D0"/>
    <w:rsid w:val="00810B38"/>
    <w:rsid w:val="008204C7"/>
    <w:rsid w:val="00820992"/>
    <w:rsid w:val="00823602"/>
    <w:rsid w:val="008255F5"/>
    <w:rsid w:val="00826890"/>
    <w:rsid w:val="0083014E"/>
    <w:rsid w:val="0083214A"/>
    <w:rsid w:val="00834220"/>
    <w:rsid w:val="00845723"/>
    <w:rsid w:val="008519E7"/>
    <w:rsid w:val="00851EF9"/>
    <w:rsid w:val="008577FD"/>
    <w:rsid w:val="00860B03"/>
    <w:rsid w:val="0086497A"/>
    <w:rsid w:val="0086538E"/>
    <w:rsid w:val="00867066"/>
    <w:rsid w:val="008713A1"/>
    <w:rsid w:val="00872584"/>
    <w:rsid w:val="008754AB"/>
    <w:rsid w:val="0088060C"/>
    <w:rsid w:val="00882CD5"/>
    <w:rsid w:val="00883151"/>
    <w:rsid w:val="00893576"/>
    <w:rsid w:val="008939C8"/>
    <w:rsid w:val="00893E73"/>
    <w:rsid w:val="008A78D1"/>
    <w:rsid w:val="008B02DC"/>
    <w:rsid w:val="008B092C"/>
    <w:rsid w:val="008B57CE"/>
    <w:rsid w:val="008C26DE"/>
    <w:rsid w:val="008D1668"/>
    <w:rsid w:val="008D2225"/>
    <w:rsid w:val="008D4752"/>
    <w:rsid w:val="008D5A13"/>
    <w:rsid w:val="008E271C"/>
    <w:rsid w:val="008E3A08"/>
    <w:rsid w:val="008E418E"/>
    <w:rsid w:val="008E5BC6"/>
    <w:rsid w:val="008E6217"/>
    <w:rsid w:val="008E6A25"/>
    <w:rsid w:val="008F2465"/>
    <w:rsid w:val="008F2554"/>
    <w:rsid w:val="008F3AEC"/>
    <w:rsid w:val="008F4D80"/>
    <w:rsid w:val="008F5193"/>
    <w:rsid w:val="008F6B36"/>
    <w:rsid w:val="009013A7"/>
    <w:rsid w:val="009017FB"/>
    <w:rsid w:val="009017FC"/>
    <w:rsid w:val="0090506B"/>
    <w:rsid w:val="009050C9"/>
    <w:rsid w:val="009066FC"/>
    <w:rsid w:val="009140A3"/>
    <w:rsid w:val="009144A2"/>
    <w:rsid w:val="0091510C"/>
    <w:rsid w:val="009259AC"/>
    <w:rsid w:val="00926F38"/>
    <w:rsid w:val="00927BEB"/>
    <w:rsid w:val="009333DC"/>
    <w:rsid w:val="00934301"/>
    <w:rsid w:val="00935170"/>
    <w:rsid w:val="00936CD1"/>
    <w:rsid w:val="0094131C"/>
    <w:rsid w:val="00941747"/>
    <w:rsid w:val="00941EFB"/>
    <w:rsid w:val="00947AFB"/>
    <w:rsid w:val="00951AA3"/>
    <w:rsid w:val="00951D7D"/>
    <w:rsid w:val="00956D0C"/>
    <w:rsid w:val="009630C7"/>
    <w:rsid w:val="0097080E"/>
    <w:rsid w:val="00972B55"/>
    <w:rsid w:val="009743B7"/>
    <w:rsid w:val="0098228B"/>
    <w:rsid w:val="009828DA"/>
    <w:rsid w:val="0098410D"/>
    <w:rsid w:val="0098547D"/>
    <w:rsid w:val="00985BAB"/>
    <w:rsid w:val="00986B3C"/>
    <w:rsid w:val="009A115C"/>
    <w:rsid w:val="009A740A"/>
    <w:rsid w:val="009A7FC1"/>
    <w:rsid w:val="009B1606"/>
    <w:rsid w:val="009B1B5F"/>
    <w:rsid w:val="009B6673"/>
    <w:rsid w:val="009C191B"/>
    <w:rsid w:val="009C2BD6"/>
    <w:rsid w:val="009D4DAF"/>
    <w:rsid w:val="009D57AA"/>
    <w:rsid w:val="009E1F32"/>
    <w:rsid w:val="009E2CC2"/>
    <w:rsid w:val="009E47A2"/>
    <w:rsid w:val="009E776C"/>
    <w:rsid w:val="009E7A6F"/>
    <w:rsid w:val="009F4C8F"/>
    <w:rsid w:val="00A02972"/>
    <w:rsid w:val="00A05588"/>
    <w:rsid w:val="00A15601"/>
    <w:rsid w:val="00A1726E"/>
    <w:rsid w:val="00A204CF"/>
    <w:rsid w:val="00A212B4"/>
    <w:rsid w:val="00A21D2B"/>
    <w:rsid w:val="00A22745"/>
    <w:rsid w:val="00A23D49"/>
    <w:rsid w:val="00A27004"/>
    <w:rsid w:val="00A308CE"/>
    <w:rsid w:val="00A30C29"/>
    <w:rsid w:val="00A30CC1"/>
    <w:rsid w:val="00A34DD6"/>
    <w:rsid w:val="00A35683"/>
    <w:rsid w:val="00A36819"/>
    <w:rsid w:val="00A36989"/>
    <w:rsid w:val="00A37355"/>
    <w:rsid w:val="00A41D86"/>
    <w:rsid w:val="00A43628"/>
    <w:rsid w:val="00A45145"/>
    <w:rsid w:val="00A51D0F"/>
    <w:rsid w:val="00A54192"/>
    <w:rsid w:val="00A57147"/>
    <w:rsid w:val="00A6035E"/>
    <w:rsid w:val="00A6144C"/>
    <w:rsid w:val="00A66617"/>
    <w:rsid w:val="00A671F8"/>
    <w:rsid w:val="00A673A4"/>
    <w:rsid w:val="00A676ED"/>
    <w:rsid w:val="00A724AE"/>
    <w:rsid w:val="00A73329"/>
    <w:rsid w:val="00A82359"/>
    <w:rsid w:val="00A865D2"/>
    <w:rsid w:val="00A87C10"/>
    <w:rsid w:val="00A90BCD"/>
    <w:rsid w:val="00A92625"/>
    <w:rsid w:val="00A94C20"/>
    <w:rsid w:val="00A95D81"/>
    <w:rsid w:val="00AA1B09"/>
    <w:rsid w:val="00AA227F"/>
    <w:rsid w:val="00AA3BC7"/>
    <w:rsid w:val="00AA754A"/>
    <w:rsid w:val="00AB099E"/>
    <w:rsid w:val="00AB4328"/>
    <w:rsid w:val="00AC38DE"/>
    <w:rsid w:val="00AC4CD4"/>
    <w:rsid w:val="00AE0A2E"/>
    <w:rsid w:val="00AE354C"/>
    <w:rsid w:val="00AF12C5"/>
    <w:rsid w:val="00AF4B07"/>
    <w:rsid w:val="00AF6186"/>
    <w:rsid w:val="00AF7A3A"/>
    <w:rsid w:val="00B02587"/>
    <w:rsid w:val="00B049D1"/>
    <w:rsid w:val="00B14793"/>
    <w:rsid w:val="00B153A0"/>
    <w:rsid w:val="00B160DB"/>
    <w:rsid w:val="00B20836"/>
    <w:rsid w:val="00B235BB"/>
    <w:rsid w:val="00B27A44"/>
    <w:rsid w:val="00B30BBF"/>
    <w:rsid w:val="00B33C03"/>
    <w:rsid w:val="00B4421F"/>
    <w:rsid w:val="00B44E56"/>
    <w:rsid w:val="00B45917"/>
    <w:rsid w:val="00B46543"/>
    <w:rsid w:val="00B47D33"/>
    <w:rsid w:val="00B52BE0"/>
    <w:rsid w:val="00B54133"/>
    <w:rsid w:val="00B55A8D"/>
    <w:rsid w:val="00B701ED"/>
    <w:rsid w:val="00B748F7"/>
    <w:rsid w:val="00B8086C"/>
    <w:rsid w:val="00B81C58"/>
    <w:rsid w:val="00B861B4"/>
    <w:rsid w:val="00B86DFE"/>
    <w:rsid w:val="00B90990"/>
    <w:rsid w:val="00B922FF"/>
    <w:rsid w:val="00B9281E"/>
    <w:rsid w:val="00B93925"/>
    <w:rsid w:val="00B95187"/>
    <w:rsid w:val="00BA2D55"/>
    <w:rsid w:val="00BA71B1"/>
    <w:rsid w:val="00BB0637"/>
    <w:rsid w:val="00BB345F"/>
    <w:rsid w:val="00BB68EA"/>
    <w:rsid w:val="00BC0B99"/>
    <w:rsid w:val="00BC1C27"/>
    <w:rsid w:val="00BC56A7"/>
    <w:rsid w:val="00BC6BBF"/>
    <w:rsid w:val="00BD1572"/>
    <w:rsid w:val="00BE14E3"/>
    <w:rsid w:val="00BE33B1"/>
    <w:rsid w:val="00BE3774"/>
    <w:rsid w:val="00BE41E5"/>
    <w:rsid w:val="00BE4CE2"/>
    <w:rsid w:val="00BF118F"/>
    <w:rsid w:val="00BF4109"/>
    <w:rsid w:val="00BF4CC3"/>
    <w:rsid w:val="00C03F68"/>
    <w:rsid w:val="00C054C7"/>
    <w:rsid w:val="00C057B5"/>
    <w:rsid w:val="00C07D0E"/>
    <w:rsid w:val="00C115C3"/>
    <w:rsid w:val="00C15547"/>
    <w:rsid w:val="00C1672D"/>
    <w:rsid w:val="00C22687"/>
    <w:rsid w:val="00C26A92"/>
    <w:rsid w:val="00C26B1C"/>
    <w:rsid w:val="00C32E4D"/>
    <w:rsid w:val="00C333A0"/>
    <w:rsid w:val="00C36A81"/>
    <w:rsid w:val="00C41056"/>
    <w:rsid w:val="00C41974"/>
    <w:rsid w:val="00C44A2C"/>
    <w:rsid w:val="00C44F09"/>
    <w:rsid w:val="00C477F7"/>
    <w:rsid w:val="00C509A6"/>
    <w:rsid w:val="00C53F4A"/>
    <w:rsid w:val="00C54125"/>
    <w:rsid w:val="00C55B54"/>
    <w:rsid w:val="00C6098E"/>
    <w:rsid w:val="00C6152C"/>
    <w:rsid w:val="00C702D5"/>
    <w:rsid w:val="00C71424"/>
    <w:rsid w:val="00C74810"/>
    <w:rsid w:val="00C90D68"/>
    <w:rsid w:val="00C939FE"/>
    <w:rsid w:val="00C9716B"/>
    <w:rsid w:val="00CA4BDA"/>
    <w:rsid w:val="00CB13E3"/>
    <w:rsid w:val="00CB1F66"/>
    <w:rsid w:val="00CB232C"/>
    <w:rsid w:val="00CB2951"/>
    <w:rsid w:val="00CB4277"/>
    <w:rsid w:val="00CC5067"/>
    <w:rsid w:val="00CC764C"/>
    <w:rsid w:val="00CD11D3"/>
    <w:rsid w:val="00CD282B"/>
    <w:rsid w:val="00CD447B"/>
    <w:rsid w:val="00CD4C35"/>
    <w:rsid w:val="00CD7369"/>
    <w:rsid w:val="00CE0B0E"/>
    <w:rsid w:val="00CE3831"/>
    <w:rsid w:val="00CF2397"/>
    <w:rsid w:val="00D00ABB"/>
    <w:rsid w:val="00D02EEC"/>
    <w:rsid w:val="00D03551"/>
    <w:rsid w:val="00D04315"/>
    <w:rsid w:val="00D06A63"/>
    <w:rsid w:val="00D07E0E"/>
    <w:rsid w:val="00D10CD6"/>
    <w:rsid w:val="00D11478"/>
    <w:rsid w:val="00D15ED0"/>
    <w:rsid w:val="00D164BF"/>
    <w:rsid w:val="00D206DC"/>
    <w:rsid w:val="00D21B3E"/>
    <w:rsid w:val="00D21FED"/>
    <w:rsid w:val="00D23048"/>
    <w:rsid w:val="00D24251"/>
    <w:rsid w:val="00D26E72"/>
    <w:rsid w:val="00D343E2"/>
    <w:rsid w:val="00D361A2"/>
    <w:rsid w:val="00D37272"/>
    <w:rsid w:val="00D44C2E"/>
    <w:rsid w:val="00D45414"/>
    <w:rsid w:val="00D50A0A"/>
    <w:rsid w:val="00D53548"/>
    <w:rsid w:val="00D5576B"/>
    <w:rsid w:val="00D566BD"/>
    <w:rsid w:val="00D57A4D"/>
    <w:rsid w:val="00D60AA7"/>
    <w:rsid w:val="00D6435F"/>
    <w:rsid w:val="00D66471"/>
    <w:rsid w:val="00D669D4"/>
    <w:rsid w:val="00D70641"/>
    <w:rsid w:val="00D74888"/>
    <w:rsid w:val="00D7488B"/>
    <w:rsid w:val="00D75E28"/>
    <w:rsid w:val="00D772C2"/>
    <w:rsid w:val="00D8008E"/>
    <w:rsid w:val="00D82C45"/>
    <w:rsid w:val="00D908A8"/>
    <w:rsid w:val="00D977B6"/>
    <w:rsid w:val="00DA1223"/>
    <w:rsid w:val="00DA4A31"/>
    <w:rsid w:val="00DA7B04"/>
    <w:rsid w:val="00DB36C2"/>
    <w:rsid w:val="00DC00A8"/>
    <w:rsid w:val="00DC169B"/>
    <w:rsid w:val="00DC2AB9"/>
    <w:rsid w:val="00DC63F0"/>
    <w:rsid w:val="00DD37EA"/>
    <w:rsid w:val="00DD6EE5"/>
    <w:rsid w:val="00DE386C"/>
    <w:rsid w:val="00DE4B83"/>
    <w:rsid w:val="00DE4D35"/>
    <w:rsid w:val="00DF098B"/>
    <w:rsid w:val="00DF11C4"/>
    <w:rsid w:val="00DF210C"/>
    <w:rsid w:val="00DF4B6A"/>
    <w:rsid w:val="00E004C0"/>
    <w:rsid w:val="00E02C09"/>
    <w:rsid w:val="00E04D59"/>
    <w:rsid w:val="00E07DA1"/>
    <w:rsid w:val="00E123CB"/>
    <w:rsid w:val="00E13B09"/>
    <w:rsid w:val="00E20E13"/>
    <w:rsid w:val="00E21DBC"/>
    <w:rsid w:val="00E275D7"/>
    <w:rsid w:val="00E27DBE"/>
    <w:rsid w:val="00E32AB1"/>
    <w:rsid w:val="00E36C71"/>
    <w:rsid w:val="00E40404"/>
    <w:rsid w:val="00E4126A"/>
    <w:rsid w:val="00E42A06"/>
    <w:rsid w:val="00E459C6"/>
    <w:rsid w:val="00E462AF"/>
    <w:rsid w:val="00E47589"/>
    <w:rsid w:val="00E557AA"/>
    <w:rsid w:val="00E63EC7"/>
    <w:rsid w:val="00E64915"/>
    <w:rsid w:val="00E64D3A"/>
    <w:rsid w:val="00E661D4"/>
    <w:rsid w:val="00E67565"/>
    <w:rsid w:val="00E70091"/>
    <w:rsid w:val="00E70D2E"/>
    <w:rsid w:val="00E720F5"/>
    <w:rsid w:val="00E744E0"/>
    <w:rsid w:val="00E76D47"/>
    <w:rsid w:val="00E823AE"/>
    <w:rsid w:val="00E827BC"/>
    <w:rsid w:val="00E849F7"/>
    <w:rsid w:val="00E90302"/>
    <w:rsid w:val="00E91D05"/>
    <w:rsid w:val="00E9262D"/>
    <w:rsid w:val="00E94245"/>
    <w:rsid w:val="00E95C1E"/>
    <w:rsid w:val="00E97396"/>
    <w:rsid w:val="00EA185E"/>
    <w:rsid w:val="00EA592A"/>
    <w:rsid w:val="00EB14E4"/>
    <w:rsid w:val="00EB32A5"/>
    <w:rsid w:val="00EB34ED"/>
    <w:rsid w:val="00EB447C"/>
    <w:rsid w:val="00EB7BE0"/>
    <w:rsid w:val="00EC315E"/>
    <w:rsid w:val="00ED077C"/>
    <w:rsid w:val="00ED10A9"/>
    <w:rsid w:val="00ED1190"/>
    <w:rsid w:val="00ED34AC"/>
    <w:rsid w:val="00ED6544"/>
    <w:rsid w:val="00EE0277"/>
    <w:rsid w:val="00EE2899"/>
    <w:rsid w:val="00EE3E00"/>
    <w:rsid w:val="00EE5DD2"/>
    <w:rsid w:val="00EF36C5"/>
    <w:rsid w:val="00EF3DB4"/>
    <w:rsid w:val="00F00A79"/>
    <w:rsid w:val="00F00D13"/>
    <w:rsid w:val="00F00E86"/>
    <w:rsid w:val="00F07C1E"/>
    <w:rsid w:val="00F105DB"/>
    <w:rsid w:val="00F132BC"/>
    <w:rsid w:val="00F13D80"/>
    <w:rsid w:val="00F15B4D"/>
    <w:rsid w:val="00F16A7C"/>
    <w:rsid w:val="00F16AAA"/>
    <w:rsid w:val="00F1709C"/>
    <w:rsid w:val="00F2023F"/>
    <w:rsid w:val="00F21161"/>
    <w:rsid w:val="00F218EF"/>
    <w:rsid w:val="00F21BC7"/>
    <w:rsid w:val="00F266A2"/>
    <w:rsid w:val="00F32269"/>
    <w:rsid w:val="00F35B7A"/>
    <w:rsid w:val="00F40CCC"/>
    <w:rsid w:val="00F56A6F"/>
    <w:rsid w:val="00F5709C"/>
    <w:rsid w:val="00F60B85"/>
    <w:rsid w:val="00F64EF1"/>
    <w:rsid w:val="00F72498"/>
    <w:rsid w:val="00F72B14"/>
    <w:rsid w:val="00F7349B"/>
    <w:rsid w:val="00F82FC4"/>
    <w:rsid w:val="00F8765F"/>
    <w:rsid w:val="00F90767"/>
    <w:rsid w:val="00F9263C"/>
    <w:rsid w:val="00FA1637"/>
    <w:rsid w:val="00FA685B"/>
    <w:rsid w:val="00FB0C01"/>
    <w:rsid w:val="00FB1E1D"/>
    <w:rsid w:val="00FB5934"/>
    <w:rsid w:val="00FC18F2"/>
    <w:rsid w:val="00FC1C9A"/>
    <w:rsid w:val="00FC2A17"/>
    <w:rsid w:val="00FC38CF"/>
    <w:rsid w:val="00FC39E5"/>
    <w:rsid w:val="00FC3A78"/>
    <w:rsid w:val="00FD1005"/>
    <w:rsid w:val="00FD1F7F"/>
    <w:rsid w:val="00FD6C75"/>
    <w:rsid w:val="00FD7972"/>
    <w:rsid w:val="00FE0401"/>
    <w:rsid w:val="00FE71B3"/>
    <w:rsid w:val="00FF42C5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8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8A78D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8"/>
    <w:semiHidden/>
    <w:rsid w:val="008A78D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8A78D1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8A78D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8A78D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8A78D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8A78D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8A78D1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8A78D1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8A78D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8"/>
    <w:semiHidden/>
    <w:rsid w:val="008A7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8A78D1"/>
    <w:rPr>
      <w:rFonts w:ascii="Tahoma" w:hAnsi="Tahoma" w:cs="Tahoma"/>
      <w:sz w:val="16"/>
      <w:szCs w:val="16"/>
      <w:lang w:val="bg-BG"/>
    </w:rPr>
  </w:style>
  <w:style w:type="character" w:styleId="BookTitle">
    <w:name w:val="Book Title"/>
    <w:uiPriority w:val="98"/>
    <w:semiHidden/>
    <w:qFormat/>
    <w:rsid w:val="008A78D1"/>
    <w:rPr>
      <w:i/>
      <w:iCs/>
      <w:smallCaps/>
      <w:spacing w:val="5"/>
    </w:rPr>
  </w:style>
  <w:style w:type="paragraph" w:customStyle="1" w:styleId="JuHeader">
    <w:name w:val="Ju_Header"/>
    <w:aliases w:val="_Header"/>
    <w:basedOn w:val="Header"/>
    <w:uiPriority w:val="29"/>
    <w:qFormat/>
    <w:rsid w:val="008A78D1"/>
    <w:pPr>
      <w:tabs>
        <w:tab w:val="clear" w:pos="4536"/>
        <w:tab w:val="clear" w:pos="9072"/>
      </w:tabs>
      <w:jc w:val="center"/>
    </w:pPr>
    <w:rPr>
      <w:sz w:val="18"/>
    </w:rPr>
  </w:style>
  <w:style w:type="paragraph" w:customStyle="1" w:styleId="NormalJustified">
    <w:name w:val="Normal_Justified"/>
    <w:basedOn w:val="Normal"/>
    <w:semiHidden/>
    <w:rsid w:val="008A78D1"/>
    <w:pPr>
      <w:jc w:val="both"/>
    </w:pPr>
  </w:style>
  <w:style w:type="character" w:styleId="Strong">
    <w:name w:val="Strong"/>
    <w:uiPriority w:val="98"/>
    <w:semiHidden/>
    <w:qFormat/>
    <w:rsid w:val="008A78D1"/>
    <w:rPr>
      <w:b/>
      <w:bCs/>
    </w:rPr>
  </w:style>
  <w:style w:type="paragraph" w:styleId="NoSpacing">
    <w:name w:val="No Spacing"/>
    <w:basedOn w:val="Normal"/>
    <w:link w:val="NoSpacingChar"/>
    <w:uiPriority w:val="98"/>
    <w:semiHidden/>
    <w:qFormat/>
    <w:rsid w:val="008A78D1"/>
  </w:style>
  <w:style w:type="character" w:customStyle="1" w:styleId="NoSpacingChar">
    <w:name w:val="No Spacing Char"/>
    <w:basedOn w:val="DefaultParagraphFont"/>
    <w:link w:val="NoSpacing"/>
    <w:uiPriority w:val="98"/>
    <w:semiHidden/>
    <w:rsid w:val="008A78D1"/>
    <w:rPr>
      <w:sz w:val="24"/>
      <w:szCs w:val="24"/>
      <w:lang w:val="bg-BG"/>
    </w:rPr>
  </w:style>
  <w:style w:type="paragraph" w:customStyle="1" w:styleId="JuQuot">
    <w:name w:val="Ju_Quot"/>
    <w:aliases w:val="_Quote"/>
    <w:basedOn w:val="NormalJustified"/>
    <w:uiPriority w:val="20"/>
    <w:qFormat/>
    <w:rsid w:val="008A78D1"/>
    <w:pPr>
      <w:spacing w:before="120" w:after="120"/>
      <w:ind w:left="425" w:firstLine="142"/>
    </w:pPr>
    <w:rPr>
      <w:sz w:val="20"/>
    </w:rPr>
  </w:style>
  <w:style w:type="paragraph" w:customStyle="1" w:styleId="DummyStyle">
    <w:name w:val="Dummy_Style"/>
    <w:aliases w:val="_Dummy"/>
    <w:basedOn w:val="Normal"/>
    <w:semiHidden/>
    <w:qFormat/>
    <w:rsid w:val="008A78D1"/>
    <w:rPr>
      <w:color w:val="00B050"/>
      <w:sz w:val="22"/>
    </w:rPr>
  </w:style>
  <w:style w:type="paragraph" w:customStyle="1" w:styleId="JuList">
    <w:name w:val="Ju_List"/>
    <w:aliases w:val="_List_1"/>
    <w:basedOn w:val="NormalJustified"/>
    <w:uiPriority w:val="23"/>
    <w:qFormat/>
    <w:rsid w:val="008A78D1"/>
    <w:pPr>
      <w:numPr>
        <w:numId w:val="21"/>
      </w:numPr>
      <w:spacing w:before="280" w:after="60"/>
    </w:pPr>
  </w:style>
  <w:style w:type="paragraph" w:customStyle="1" w:styleId="JuLista">
    <w:name w:val="Ju_List_a"/>
    <w:aliases w:val="_List_2"/>
    <w:basedOn w:val="NormalJustified"/>
    <w:uiPriority w:val="23"/>
    <w:rsid w:val="008A78D1"/>
    <w:pPr>
      <w:numPr>
        <w:ilvl w:val="1"/>
        <w:numId w:val="21"/>
      </w:numPr>
    </w:pPr>
  </w:style>
  <w:style w:type="paragraph" w:customStyle="1" w:styleId="JuListi">
    <w:name w:val="Ju_List_i"/>
    <w:aliases w:val="_List_3"/>
    <w:basedOn w:val="NormalJustified"/>
    <w:uiPriority w:val="23"/>
    <w:rsid w:val="008A78D1"/>
    <w:pPr>
      <w:numPr>
        <w:ilvl w:val="2"/>
        <w:numId w:val="21"/>
      </w:numPr>
    </w:p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8A78D1"/>
    <w:pPr>
      <w:keepNext/>
      <w:spacing w:before="100" w:beforeAutospacing="1" w:after="120"/>
      <w:contextualSpacing/>
      <w:jc w:val="center"/>
    </w:pPr>
    <w:rPr>
      <w:b/>
      <w:sz w:val="20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8A78D1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8A78D1"/>
    <w:pPr>
      <w:keepNext/>
      <w:keepLines/>
      <w:tabs>
        <w:tab w:val="right" w:pos="7938"/>
      </w:tabs>
      <w:ind w:firstLine="0"/>
      <w:jc w:val="center"/>
    </w:pPr>
    <w:rPr>
      <w:i/>
    </w:rPr>
  </w:style>
  <w:style w:type="paragraph" w:customStyle="1" w:styleId="JuHHead">
    <w:name w:val="Ju_H_Head"/>
    <w:aliases w:val="_Head_1"/>
    <w:basedOn w:val="Heading1"/>
    <w:next w:val="JuPara"/>
    <w:uiPriority w:val="17"/>
    <w:qFormat/>
    <w:rsid w:val="008A78D1"/>
    <w:pPr>
      <w:keepNext/>
      <w:keepLines/>
      <w:numPr>
        <w:numId w:val="20"/>
      </w:numPr>
      <w:spacing w:before="100" w:beforeAutospacing="1" w:after="240"/>
      <w:contextualSpacing w:val="0"/>
      <w:jc w:val="both"/>
    </w:pPr>
    <w:rPr>
      <w:b w:val="0"/>
      <w:caps/>
      <w:color w:val="auto"/>
    </w:rPr>
  </w:style>
  <w:style w:type="numbering" w:customStyle="1" w:styleId="ECHRA1StyleBulletedSquare">
    <w:name w:val="ECHR_A1_Style_Bulleted_Square"/>
    <w:basedOn w:val="NoList"/>
    <w:rsid w:val="008A78D1"/>
    <w:pPr>
      <w:numPr>
        <w:numId w:val="15"/>
      </w:numPr>
    </w:pPr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8A78D1"/>
    <w:pPr>
      <w:tabs>
        <w:tab w:val="center" w:pos="1418"/>
        <w:tab w:val="center" w:pos="5954"/>
      </w:tabs>
      <w:spacing w:before="720"/>
    </w:pPr>
  </w:style>
  <w:style w:type="paragraph" w:styleId="Title">
    <w:name w:val="Title"/>
    <w:basedOn w:val="Normal"/>
    <w:next w:val="Normal"/>
    <w:link w:val="TitleChar"/>
    <w:uiPriority w:val="98"/>
    <w:semiHidden/>
    <w:qFormat/>
    <w:rsid w:val="008A78D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8A78D1"/>
    <w:rPr>
      <w:rFonts w:asciiTheme="majorHAnsi" w:eastAsiaTheme="majorEastAsia" w:hAnsiTheme="majorHAnsi" w:cstheme="majorBidi"/>
      <w:spacing w:val="5"/>
      <w:sz w:val="52"/>
      <w:szCs w:val="52"/>
      <w:lang w:val="bg-BG" w:bidi="en-US"/>
    </w:rPr>
  </w:style>
  <w:style w:type="numbering" w:customStyle="1" w:styleId="ECHRA1StyleList">
    <w:name w:val="ECHR_A1_Style_List"/>
    <w:basedOn w:val="NoList"/>
    <w:uiPriority w:val="99"/>
    <w:rsid w:val="008A78D1"/>
    <w:pPr>
      <w:numPr>
        <w:numId w:val="16"/>
      </w:numPr>
    </w:pPr>
  </w:style>
  <w:style w:type="numbering" w:customStyle="1" w:styleId="ECHRA1StyleNumberedList">
    <w:name w:val="ECHR_A1_Style_Numbered_List"/>
    <w:basedOn w:val="NoList"/>
    <w:rsid w:val="008A78D1"/>
    <w:pPr>
      <w:numPr>
        <w:numId w:val="17"/>
      </w:numPr>
    </w:pPr>
  </w:style>
  <w:style w:type="table" w:customStyle="1" w:styleId="ECHRTable2019">
    <w:name w:val="ECHR_Table_2019"/>
    <w:basedOn w:val="TableNormal"/>
    <w:uiPriority w:val="99"/>
    <w:rsid w:val="008A78D1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95959" w:themeColor="accent3"/>
        <w:left w:val="single" w:sz="4" w:space="0" w:color="595959" w:themeColor="accent3"/>
        <w:bottom w:val="single" w:sz="4" w:space="0" w:color="595959" w:themeColor="accent3"/>
        <w:right w:val="single" w:sz="4" w:space="0" w:color="595959" w:themeColor="accent3"/>
        <w:insideH w:val="single" w:sz="4" w:space="0" w:color="595959" w:themeColor="accent3"/>
        <w:insideV w:val="single" w:sz="4" w:space="0" w:color="595959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DDDDD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95959" w:themeColor="accent3"/>
          <w:left w:val="single" w:sz="4" w:space="0" w:color="595959" w:themeColor="accent3"/>
          <w:bottom w:val="single" w:sz="8" w:space="0" w:color="595959" w:themeColor="accent3"/>
          <w:right w:val="single" w:sz="4" w:space="0" w:color="595959" w:themeColor="accent3"/>
          <w:insideH w:val="nil"/>
          <w:insideV w:val="single" w:sz="4" w:space="0" w:color="595959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  <w:tl2br w:val="nil"/>
          <w:tr2bl w:val="nil"/>
        </w:tcBorders>
        <w:shd w:val="clear" w:color="auto" w:fill="EFEFEF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  <w:tl2br w:val="nil"/>
          <w:tr2bl w:val="nil"/>
        </w:tcBorders>
        <w:shd w:val="clear" w:color="auto" w:fill="EFEFEF" w:themeFill="text2" w:themeFillTint="33"/>
      </w:tcPr>
    </w:tblStylePr>
    <w:tblStylePr w:type="band2Horz"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single" w:sz="4" w:space="0" w:color="595959" w:themeColor="accent3"/>
          <w:insideV w:val="single" w:sz="4" w:space="0" w:color="595959" w:themeColor="accent3"/>
          <w:tl2br w:val="nil"/>
          <w:tr2bl w:val="nil"/>
        </w:tcBorders>
        <w:shd w:val="clear" w:color="auto" w:fill="EFEFEF" w:themeFill="text2" w:themeFillTint="33"/>
      </w:tcPr>
    </w:tblStylePr>
  </w:style>
  <w:style w:type="paragraph" w:customStyle="1" w:styleId="Footer">
    <w:name w:val="_Footer"/>
    <w:aliases w:val="Footer_"/>
    <w:basedOn w:val="Footer0"/>
    <w:uiPriority w:val="57"/>
    <w:semiHidden/>
    <w:rsid w:val="007D3701"/>
    <w:rPr>
      <w:sz w:val="8"/>
    </w:r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8A78D1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HIRoman">
    <w:name w:val="Ju_H_I_Roman"/>
    <w:aliases w:val="_Head_2"/>
    <w:basedOn w:val="Heading2"/>
    <w:next w:val="JuPara"/>
    <w:uiPriority w:val="17"/>
    <w:qFormat/>
    <w:rsid w:val="008A78D1"/>
    <w:pPr>
      <w:keepNext/>
      <w:keepLines/>
      <w:numPr>
        <w:ilvl w:val="1"/>
        <w:numId w:val="20"/>
      </w:numPr>
      <w:tabs>
        <w:tab w:val="left" w:pos="454"/>
        <w:tab w:val="left" w:pos="539"/>
        <w:tab w:val="left" w:pos="624"/>
        <w:tab w:val="left" w:pos="709"/>
        <w:tab w:val="left" w:pos="794"/>
      </w:tabs>
      <w:spacing w:before="100" w:beforeAutospacing="1" w:after="240"/>
      <w:jc w:val="both"/>
    </w:pPr>
    <w:rPr>
      <w:b w:val="0"/>
      <w:caps/>
      <w:color w:val="auto"/>
      <w:sz w:val="24"/>
    </w:rPr>
  </w:style>
  <w:style w:type="paragraph" w:customStyle="1" w:styleId="JuHA">
    <w:name w:val="Ju_H_A"/>
    <w:aliases w:val="_Head_3"/>
    <w:basedOn w:val="Heading3"/>
    <w:next w:val="JuPara"/>
    <w:uiPriority w:val="17"/>
    <w:qFormat/>
    <w:rsid w:val="008A78D1"/>
    <w:pPr>
      <w:keepNext/>
      <w:keepLines/>
      <w:numPr>
        <w:ilvl w:val="2"/>
        <w:numId w:val="20"/>
      </w:numPr>
      <w:spacing w:before="100" w:beforeAutospacing="1" w:after="240" w:line="240" w:lineRule="auto"/>
      <w:jc w:val="both"/>
    </w:pPr>
    <w:rPr>
      <w:color w:val="auto"/>
      <w:sz w:val="24"/>
    </w:rPr>
  </w:style>
  <w:style w:type="paragraph" w:customStyle="1" w:styleId="JuH1">
    <w:name w:val="Ju_H_1."/>
    <w:aliases w:val="_Head_4"/>
    <w:basedOn w:val="Heading4"/>
    <w:next w:val="JuPara"/>
    <w:uiPriority w:val="17"/>
    <w:rsid w:val="008A78D1"/>
    <w:pPr>
      <w:keepNext/>
      <w:keepLines/>
      <w:numPr>
        <w:ilvl w:val="3"/>
        <w:numId w:val="20"/>
      </w:numPr>
      <w:spacing w:before="100" w:beforeAutospacing="1" w:after="120"/>
      <w:jc w:val="both"/>
    </w:pPr>
    <w:rPr>
      <w:b w:val="0"/>
      <w:color w:val="auto"/>
      <w:sz w:val="24"/>
    </w:rPr>
  </w:style>
  <w:style w:type="paragraph" w:styleId="Header">
    <w:name w:val="header"/>
    <w:basedOn w:val="Normal"/>
    <w:link w:val="HeaderChar"/>
    <w:uiPriority w:val="98"/>
    <w:semiHidden/>
    <w:rsid w:val="008A78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8"/>
    <w:semiHidden/>
    <w:rsid w:val="008A78D1"/>
    <w:rPr>
      <w:sz w:val="24"/>
      <w:szCs w:val="24"/>
      <w:lang w:val="bg-BG"/>
    </w:rPr>
  </w:style>
  <w:style w:type="character" w:customStyle="1" w:styleId="Heading1Char">
    <w:name w:val="Heading 1 Char"/>
    <w:basedOn w:val="DefaultParagraphFont"/>
    <w:link w:val="Heading1"/>
    <w:uiPriority w:val="98"/>
    <w:semiHidden/>
    <w:rsid w:val="008A78D1"/>
    <w:rPr>
      <w:rFonts w:asciiTheme="majorHAnsi" w:eastAsiaTheme="majorEastAsia" w:hAnsiTheme="majorHAnsi" w:cstheme="majorBidi"/>
      <w:b/>
      <w:bCs/>
      <w:color w:val="333333"/>
      <w:sz w:val="28"/>
      <w:szCs w:val="28"/>
      <w:lang w:val="bg-BG"/>
    </w:rPr>
  </w:style>
  <w:style w:type="paragraph" w:customStyle="1" w:styleId="JuHa0">
    <w:name w:val="Ju_H_a"/>
    <w:aliases w:val="_Head_5"/>
    <w:basedOn w:val="Heading5"/>
    <w:next w:val="JuPara"/>
    <w:uiPriority w:val="17"/>
    <w:rsid w:val="008A78D1"/>
    <w:pPr>
      <w:keepNext/>
      <w:keepLines/>
      <w:numPr>
        <w:ilvl w:val="4"/>
        <w:numId w:val="20"/>
      </w:numPr>
      <w:spacing w:before="100" w:beforeAutospacing="1" w:after="120"/>
      <w:jc w:val="both"/>
    </w:pPr>
    <w:rPr>
      <w:color w:val="auto"/>
      <w:sz w:val="20"/>
    </w:rPr>
  </w:style>
  <w:style w:type="paragraph" w:customStyle="1" w:styleId="JuHi">
    <w:name w:val="Ju_H_i"/>
    <w:aliases w:val="_Head_6"/>
    <w:basedOn w:val="Heading6"/>
    <w:next w:val="JuPara"/>
    <w:uiPriority w:val="17"/>
    <w:rsid w:val="008A78D1"/>
    <w:pPr>
      <w:keepNext/>
      <w:keepLines/>
      <w:numPr>
        <w:ilvl w:val="5"/>
        <w:numId w:val="20"/>
      </w:numPr>
      <w:tabs>
        <w:tab w:val="left" w:pos="1077"/>
        <w:tab w:val="left" w:pos="1134"/>
        <w:tab w:val="left" w:pos="1191"/>
        <w:tab w:val="left" w:pos="1247"/>
      </w:tabs>
      <w:spacing w:before="100" w:beforeAutospacing="1" w:after="120"/>
      <w:jc w:val="both"/>
    </w:pPr>
    <w:rPr>
      <w:b w:val="0"/>
      <w:color w:val="auto"/>
      <w:sz w:val="20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8A78D1"/>
    <w:rPr>
      <w:rFonts w:asciiTheme="majorHAnsi" w:eastAsiaTheme="majorEastAsia" w:hAnsiTheme="majorHAnsi" w:cstheme="majorBidi"/>
      <w:b/>
      <w:bCs/>
      <w:color w:val="4D4D4D"/>
      <w:sz w:val="26"/>
      <w:szCs w:val="26"/>
      <w:lang w:val="bg-BG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8A78D1"/>
    <w:pPr>
      <w:keepNext/>
      <w:keepLines/>
      <w:numPr>
        <w:ilvl w:val="6"/>
        <w:numId w:val="20"/>
      </w:numPr>
      <w:tabs>
        <w:tab w:val="left" w:pos="1361"/>
      </w:tabs>
      <w:spacing w:before="100" w:beforeAutospacing="1" w:after="120"/>
      <w:jc w:val="both"/>
    </w:pPr>
    <w:rPr>
      <w:i w:val="0"/>
      <w:sz w:val="20"/>
    </w:rPr>
  </w:style>
  <w:style w:type="paragraph" w:customStyle="1" w:styleId="JuH">
    <w:name w:val="Ju_H_–"/>
    <w:aliases w:val="_Head_8"/>
    <w:basedOn w:val="Heading8"/>
    <w:next w:val="JuPara"/>
    <w:uiPriority w:val="17"/>
    <w:rsid w:val="008A78D1"/>
    <w:pPr>
      <w:keepNext/>
      <w:keepLines/>
      <w:numPr>
        <w:ilvl w:val="7"/>
        <w:numId w:val="20"/>
      </w:numPr>
      <w:spacing w:before="100" w:beforeAutospacing="1" w:after="120"/>
      <w:jc w:val="both"/>
    </w:pPr>
    <w:rPr>
      <w:i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8A78D1"/>
    <w:rPr>
      <w:rFonts w:asciiTheme="majorHAnsi" w:eastAsiaTheme="majorEastAsia" w:hAnsiTheme="majorHAnsi" w:cstheme="majorBidi"/>
      <w:b/>
      <w:bCs/>
      <w:color w:val="5F5F5F"/>
      <w:lang w:val="bg-BG"/>
    </w:rPr>
  </w:style>
  <w:style w:type="paragraph" w:customStyle="1" w:styleId="JuParaLast">
    <w:name w:val="Ju_Para_Last"/>
    <w:aliases w:val="_Para_Spaced"/>
    <w:basedOn w:val="NormalJustified"/>
    <w:uiPriority w:val="5"/>
    <w:qFormat/>
    <w:rsid w:val="008A78D1"/>
    <w:pPr>
      <w:keepNext/>
      <w:keepLines/>
      <w:spacing w:before="240" w:after="240"/>
      <w:ind w:firstLine="284"/>
    </w:pPr>
  </w:style>
  <w:style w:type="paragraph" w:customStyle="1" w:styleId="JuJudges">
    <w:name w:val="Ju_Judges"/>
    <w:aliases w:val="_Judges"/>
    <w:basedOn w:val="Normal"/>
    <w:uiPriority w:val="32"/>
    <w:qFormat/>
    <w:rsid w:val="008A78D1"/>
    <w:pPr>
      <w:tabs>
        <w:tab w:val="left" w:pos="567"/>
        <w:tab w:val="left" w:pos="1134"/>
      </w:tabs>
    </w:pPr>
  </w:style>
  <w:style w:type="character" w:customStyle="1" w:styleId="Heading4Char">
    <w:name w:val="Heading 4 Char"/>
    <w:basedOn w:val="DefaultParagraphFont"/>
    <w:link w:val="Heading4"/>
    <w:uiPriority w:val="98"/>
    <w:semiHidden/>
    <w:rsid w:val="008A78D1"/>
    <w:rPr>
      <w:rFonts w:asciiTheme="majorHAnsi" w:eastAsiaTheme="majorEastAsia" w:hAnsiTheme="majorHAnsi" w:cstheme="majorBidi"/>
      <w:b/>
      <w:bCs/>
      <w:i/>
      <w:iCs/>
      <w:color w:val="777777"/>
      <w:lang w:val="bg-BG"/>
    </w:rPr>
  </w:style>
  <w:style w:type="paragraph" w:customStyle="1" w:styleId="JuInitialled">
    <w:name w:val="Ju_Initialled"/>
    <w:aliases w:val="_Right"/>
    <w:basedOn w:val="Normal"/>
    <w:uiPriority w:val="30"/>
    <w:qFormat/>
    <w:rsid w:val="008A78D1"/>
    <w:pPr>
      <w:tabs>
        <w:tab w:val="center" w:pos="6407"/>
      </w:tabs>
      <w:spacing w:before="720"/>
      <w:jc w:val="right"/>
    </w:pPr>
  </w:style>
  <w:style w:type="character" w:customStyle="1" w:styleId="Heading5Char">
    <w:name w:val="Heading 5 Char"/>
    <w:basedOn w:val="DefaultParagraphFont"/>
    <w:link w:val="Heading5"/>
    <w:uiPriority w:val="98"/>
    <w:semiHidden/>
    <w:rsid w:val="008A78D1"/>
    <w:rPr>
      <w:rFonts w:asciiTheme="majorHAnsi" w:eastAsiaTheme="majorEastAsia" w:hAnsiTheme="majorHAnsi" w:cstheme="majorBidi"/>
      <w:b/>
      <w:bCs/>
      <w:color w:val="808080"/>
      <w:lang w:val="bg-BG"/>
    </w:rPr>
  </w:style>
  <w:style w:type="character" w:customStyle="1" w:styleId="JuITMark">
    <w:name w:val="Ju_ITMark"/>
    <w:aliases w:val="_ITMark"/>
    <w:basedOn w:val="DefaultParagraphFont"/>
    <w:uiPriority w:val="54"/>
    <w:qFormat/>
    <w:rsid w:val="008A78D1"/>
    <w:rPr>
      <w:vanish w:val="0"/>
      <w:color w:val="auto"/>
      <w:sz w:val="14"/>
      <w:bdr w:val="none" w:sz="0" w:space="0" w:color="auto"/>
      <w:shd w:val="clear" w:color="auto" w:fill="FFFFFF" w:themeFill="background1" w:themeFillTint="33"/>
    </w:rPr>
  </w:style>
  <w:style w:type="character" w:customStyle="1" w:styleId="JUNAMES">
    <w:name w:val="JU_NAMES"/>
    <w:aliases w:val="_Ju_Names"/>
    <w:uiPriority w:val="33"/>
    <w:qFormat/>
    <w:rsid w:val="008A78D1"/>
    <w:rPr>
      <w:caps w:val="0"/>
      <w:smallCaps/>
    </w:rPr>
  </w:style>
  <w:style w:type="character" w:styleId="SubtleEmphasis">
    <w:name w:val="Subtle Emphasis"/>
    <w:uiPriority w:val="98"/>
    <w:semiHidden/>
    <w:qFormat/>
    <w:rsid w:val="008A78D1"/>
    <w:rPr>
      <w:i/>
      <w:iCs/>
    </w:rPr>
  </w:style>
  <w:style w:type="table" w:customStyle="1" w:styleId="ECHRTable">
    <w:name w:val="ECHR_Table"/>
    <w:basedOn w:val="TableNormal"/>
    <w:rsid w:val="008A78D1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38383" w:themeColor="text2" w:themeShade="BF"/>
        <w:left w:val="single" w:sz="4" w:space="0" w:color="838383" w:themeColor="text2" w:themeShade="BF"/>
        <w:bottom w:val="single" w:sz="4" w:space="0" w:color="838383" w:themeColor="text2" w:themeShade="BF"/>
        <w:right w:val="single" w:sz="4" w:space="0" w:color="838383" w:themeColor="text2" w:themeShade="BF"/>
        <w:insideH w:val="single" w:sz="4" w:space="0" w:color="838383" w:themeColor="text2" w:themeShade="BF"/>
        <w:insideV w:val="single" w:sz="4" w:space="0" w:color="838383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24242" w:themeColor="accent3" w:themeShade="BF"/>
        <w:sz w:val="22"/>
      </w:rPr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8A78D1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95959" w:themeColor="accent3"/>
      </w:rPr>
    </w:tblStylePr>
  </w:style>
  <w:style w:type="character" w:styleId="Emphasis">
    <w:name w:val="Emphasis"/>
    <w:uiPriority w:val="98"/>
    <w:semiHidden/>
    <w:qFormat/>
    <w:rsid w:val="008A78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0">
    <w:name w:val="footer"/>
    <w:basedOn w:val="Normal"/>
    <w:link w:val="FooterChar"/>
    <w:uiPriority w:val="98"/>
    <w:semiHidden/>
    <w:rsid w:val="008A78D1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0"/>
    <w:uiPriority w:val="98"/>
    <w:semiHidden/>
    <w:rsid w:val="008A78D1"/>
    <w:rPr>
      <w:sz w:val="24"/>
      <w:szCs w:val="24"/>
      <w:lang w:val="bg-BG"/>
    </w:rPr>
  </w:style>
  <w:style w:type="character" w:styleId="FootnoteReference">
    <w:name w:val="footnote reference"/>
    <w:basedOn w:val="DefaultParagraphFont"/>
    <w:uiPriority w:val="98"/>
    <w:semiHidden/>
    <w:rsid w:val="008A78D1"/>
    <w:rPr>
      <w:vertAlign w:val="superscript"/>
    </w:rPr>
  </w:style>
  <w:style w:type="paragraph" w:styleId="FootnoteText">
    <w:name w:val="footnote text"/>
    <w:basedOn w:val="NormalJustified"/>
    <w:link w:val="FootnoteTextChar"/>
    <w:uiPriority w:val="98"/>
    <w:semiHidden/>
    <w:rsid w:val="008A78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8A78D1"/>
    <w:rPr>
      <w:sz w:val="20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8A78D1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bg-BG" w:bidi="en-US"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8A78D1"/>
    <w:rPr>
      <w:rFonts w:asciiTheme="majorHAnsi" w:eastAsiaTheme="majorEastAsia" w:hAnsiTheme="majorHAnsi" w:cstheme="majorBidi"/>
      <w:i/>
      <w:iCs/>
      <w:lang w:val="bg-BG" w:bidi="en-US"/>
    </w:rPr>
  </w:style>
  <w:style w:type="character" w:customStyle="1" w:styleId="Heading8Char">
    <w:name w:val="Heading 8 Char"/>
    <w:basedOn w:val="DefaultParagraphFont"/>
    <w:link w:val="Heading8"/>
    <w:uiPriority w:val="98"/>
    <w:semiHidden/>
    <w:rsid w:val="008A78D1"/>
    <w:rPr>
      <w:rFonts w:asciiTheme="majorHAnsi" w:eastAsiaTheme="majorEastAsia" w:hAnsiTheme="majorHAnsi" w:cstheme="majorBidi"/>
      <w:sz w:val="20"/>
      <w:szCs w:val="20"/>
      <w:lang w:val="bg-BG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8A78D1"/>
    <w:rPr>
      <w:rFonts w:asciiTheme="majorHAnsi" w:eastAsiaTheme="majorEastAsia" w:hAnsiTheme="majorHAnsi" w:cstheme="majorBidi"/>
      <w:i/>
      <w:iCs/>
      <w:spacing w:val="5"/>
      <w:sz w:val="20"/>
      <w:szCs w:val="20"/>
      <w:lang w:val="bg-BG" w:bidi="en-US"/>
    </w:rPr>
  </w:style>
  <w:style w:type="character" w:styleId="Hyperlink">
    <w:name w:val="Hyperlink"/>
    <w:basedOn w:val="DefaultParagraphFont"/>
    <w:uiPriority w:val="98"/>
    <w:semiHidden/>
    <w:rsid w:val="008A78D1"/>
    <w:rPr>
      <w:color w:val="0072BC" w:themeColor="hyperlink"/>
      <w:u w:val="single"/>
    </w:rPr>
  </w:style>
  <w:style w:type="character" w:styleId="IntenseEmphasis">
    <w:name w:val="Intense Emphasis"/>
    <w:uiPriority w:val="98"/>
    <w:semiHidden/>
    <w:qFormat/>
    <w:rsid w:val="008A78D1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8A78D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8A78D1"/>
    <w:rPr>
      <w:b/>
      <w:bCs/>
      <w:i/>
      <w:iCs/>
      <w:sz w:val="24"/>
      <w:szCs w:val="24"/>
      <w:lang w:val="bg-BG" w:bidi="en-US"/>
    </w:rPr>
  </w:style>
  <w:style w:type="character" w:styleId="IntenseReference">
    <w:name w:val="Intense Reference"/>
    <w:uiPriority w:val="98"/>
    <w:semiHidden/>
    <w:qFormat/>
    <w:rsid w:val="008A78D1"/>
    <w:rPr>
      <w:smallCaps/>
      <w:spacing w:val="5"/>
      <w:u w:val="single"/>
    </w:rPr>
  </w:style>
  <w:style w:type="paragraph" w:styleId="ListParagraph">
    <w:name w:val="List Paragraph"/>
    <w:basedOn w:val="Normal"/>
    <w:uiPriority w:val="98"/>
    <w:semiHidden/>
    <w:qFormat/>
    <w:rsid w:val="008A78D1"/>
    <w:pPr>
      <w:ind w:left="720"/>
      <w:contextualSpacing/>
    </w:pPr>
  </w:style>
  <w:style w:type="table" w:customStyle="1" w:styleId="LtrTableAddress">
    <w:name w:val="Ltr_Table_Address"/>
    <w:aliases w:val="ECHR_Ltr_Table_Address"/>
    <w:basedOn w:val="TableNormal"/>
    <w:uiPriority w:val="99"/>
    <w:rsid w:val="008A78D1"/>
    <w:rPr>
      <w:sz w:val="24"/>
      <w:szCs w:val="24"/>
    </w:rPr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8"/>
    <w:semiHidden/>
    <w:qFormat/>
    <w:rsid w:val="008A78D1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8A78D1"/>
    <w:rPr>
      <w:i/>
      <w:iCs/>
      <w:sz w:val="24"/>
      <w:szCs w:val="24"/>
      <w:lang w:val="bg-BG" w:bidi="en-US"/>
    </w:rPr>
  </w:style>
  <w:style w:type="character" w:styleId="SubtleReference">
    <w:name w:val="Subtle Reference"/>
    <w:uiPriority w:val="98"/>
    <w:semiHidden/>
    <w:qFormat/>
    <w:rsid w:val="008A78D1"/>
    <w:rPr>
      <w:smallCaps/>
    </w:rPr>
  </w:style>
  <w:style w:type="table" w:styleId="TableGrid">
    <w:name w:val="Table Grid"/>
    <w:basedOn w:val="TableNormal"/>
    <w:uiPriority w:val="59"/>
    <w:semiHidden/>
    <w:rsid w:val="008A78D1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8"/>
    <w:semiHidden/>
    <w:rsid w:val="008A78D1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8A78D1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8A78D1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8A78D1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8A78D1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8"/>
    <w:semiHidden/>
    <w:qFormat/>
    <w:rsid w:val="008A78D1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24242" w:themeColor="accent3" w:themeShade="BF"/>
      <w:sz w:val="28"/>
    </w:rPr>
  </w:style>
  <w:style w:type="table" w:customStyle="1" w:styleId="UGTable">
    <w:name w:val="UG_Table"/>
    <w:aliases w:val="ECHR_UG_Table"/>
    <w:basedOn w:val="TableNormal"/>
    <w:uiPriority w:val="99"/>
    <w:rsid w:val="008A78D1"/>
    <w:rPr>
      <w:rFonts w:eastAsiaTheme="minorEastAsia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8A78D1"/>
    <w:rPr>
      <w:rFonts w:eastAsiaTheme="minorEastAsia"/>
      <w:sz w:val="24"/>
      <w:szCs w:val="24"/>
      <w:lang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aliases w:val="ECHR_PCF_Table_Style"/>
    <w:basedOn w:val="TableNormal"/>
    <w:uiPriority w:val="99"/>
    <w:rsid w:val="008A78D1"/>
    <w:rPr>
      <w:color w:val="000000" w:themeColor="text1"/>
      <w:sz w:val="18"/>
      <w:szCs w:val="24"/>
    </w:rPr>
    <w:tblPr>
      <w:tblBorders>
        <w:top w:val="single" w:sz="8" w:space="0" w:color="9B9B9B" w:themeColor="accent3" w:themeTint="99"/>
        <w:left w:val="single" w:sz="8" w:space="0" w:color="9B9B9B" w:themeColor="accent3" w:themeTint="99"/>
        <w:bottom w:val="single" w:sz="8" w:space="0" w:color="9B9B9B" w:themeColor="accent3" w:themeTint="99"/>
        <w:right w:val="single" w:sz="8" w:space="0" w:color="9B9B9B" w:themeColor="accent3" w:themeTint="99"/>
        <w:insideH w:val="single" w:sz="8" w:space="0" w:color="9B9B9B" w:themeColor="accent3" w:themeTint="99"/>
        <w:insideV w:val="single" w:sz="8" w:space="0" w:color="9B9B9B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8A78D1"/>
    <w:rPr>
      <w:color w:val="000000" w:themeColor="text1"/>
      <w:sz w:val="24"/>
      <w:szCs w:val="24"/>
    </w:rPr>
    <w:tblPr>
      <w:tblInd w:w="-680" w:type="dxa"/>
      <w:tblBorders>
        <w:insideH w:val="single" w:sz="4" w:space="0" w:color="B0B0B0" w:themeColor="text2"/>
        <w:insideV w:val="single" w:sz="4" w:space="0" w:color="B0B0B0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8A78D1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838383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basedOn w:val="TableNormal"/>
    <w:uiPriority w:val="99"/>
    <w:rsid w:val="008A78D1"/>
    <w:rPr>
      <w:sz w:val="24"/>
      <w:szCs w:val="24"/>
    </w:rPr>
    <w:tblPr>
      <w:jc w:val="center"/>
      <w:tblBorders>
        <w:left w:val="single" w:sz="4" w:space="0" w:color="838383" w:themeColor="text2" w:themeShade="BF"/>
        <w:bottom w:val="single" w:sz="4" w:space="0" w:color="838383" w:themeColor="text2" w:themeShade="BF"/>
        <w:right w:val="single" w:sz="4" w:space="0" w:color="838383" w:themeColor="text2" w:themeShade="BF"/>
        <w:insideH w:val="single" w:sz="4" w:space="0" w:color="838383" w:themeColor="text2" w:themeShade="BF"/>
        <w:insideV w:val="single" w:sz="4" w:space="0" w:color="838383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24242" w:themeColor="accent3" w:themeShade="BF"/>
        <w:sz w:val="24"/>
      </w:rPr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nil"/>
          <w:right w:val="single" w:sz="4" w:space="0" w:color="838383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8"/>
    <w:semiHidden/>
    <w:rsid w:val="008A78D1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24242" w:themeColor="accent3" w:themeShade="BF"/>
      <w:sz w:val="28"/>
    </w:rPr>
  </w:style>
  <w:style w:type="paragraph" w:styleId="Subtitle">
    <w:name w:val="Subtitle"/>
    <w:basedOn w:val="Normal"/>
    <w:next w:val="Normal"/>
    <w:link w:val="SubtitleChar"/>
    <w:uiPriority w:val="98"/>
    <w:semiHidden/>
    <w:qFormat/>
    <w:rsid w:val="008A78D1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98"/>
    <w:semiHidden/>
    <w:rsid w:val="008A78D1"/>
    <w:rPr>
      <w:rFonts w:asciiTheme="majorHAnsi" w:eastAsiaTheme="majorEastAsia" w:hAnsiTheme="majorHAnsi" w:cstheme="majorBidi"/>
      <w:i/>
      <w:iCs/>
      <w:spacing w:val="13"/>
      <w:sz w:val="24"/>
      <w:szCs w:val="24"/>
      <w:lang w:val="bg-BG" w:bidi="en-US"/>
    </w:rPr>
  </w:style>
  <w:style w:type="numbering" w:styleId="111111">
    <w:name w:val="Outline List 2"/>
    <w:basedOn w:val="NoList"/>
    <w:uiPriority w:val="99"/>
    <w:semiHidden/>
    <w:unhideWhenUsed/>
    <w:rsid w:val="008A78D1"/>
    <w:pPr>
      <w:numPr>
        <w:numId w:val="2"/>
      </w:numPr>
    </w:pPr>
  </w:style>
  <w:style w:type="paragraph" w:customStyle="1" w:styleId="JuPara">
    <w:name w:val="Ju_Para"/>
    <w:aliases w:val="_Para"/>
    <w:basedOn w:val="NormalJustified"/>
    <w:link w:val="JuParaChar"/>
    <w:uiPriority w:val="4"/>
    <w:qFormat/>
    <w:rsid w:val="008A78D1"/>
    <w:pPr>
      <w:ind w:firstLine="284"/>
    </w:pPr>
  </w:style>
  <w:style w:type="numbering" w:styleId="1ai">
    <w:name w:val="Outline List 1"/>
    <w:basedOn w:val="NoList"/>
    <w:uiPriority w:val="99"/>
    <w:semiHidden/>
    <w:unhideWhenUsed/>
    <w:rsid w:val="008A78D1"/>
    <w:pPr>
      <w:numPr>
        <w:numId w:val="3"/>
      </w:numPr>
    </w:pPr>
  </w:style>
  <w:style w:type="table" w:customStyle="1" w:styleId="ECHRTableSimpleBox">
    <w:name w:val="ECHR_Table_Simple_Box"/>
    <w:basedOn w:val="TableNormal"/>
    <w:uiPriority w:val="99"/>
    <w:rsid w:val="008A78D1"/>
    <w:rPr>
      <w:sz w:val="24"/>
      <w:szCs w:val="24"/>
    </w:rPr>
    <w:tblPr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8A78D1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24242" w:themeColor="accent3" w:themeShade="BF"/>
        <w:sz w:val="24"/>
      </w:rPr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</w:tcBorders>
      </w:tcPr>
    </w:tblStylePr>
  </w:style>
  <w:style w:type="numbering" w:styleId="ArticleSection">
    <w:name w:val="Outline List 3"/>
    <w:basedOn w:val="NoList"/>
    <w:uiPriority w:val="99"/>
    <w:semiHidden/>
    <w:unhideWhenUsed/>
    <w:rsid w:val="008A78D1"/>
    <w:pPr>
      <w:numPr>
        <w:numId w:val="4"/>
      </w:numPr>
    </w:pPr>
  </w:style>
  <w:style w:type="table" w:customStyle="1" w:styleId="ECHRTableForInternalUse">
    <w:name w:val="ECHR_Table_For_Internal_Use"/>
    <w:basedOn w:val="TableNormal"/>
    <w:uiPriority w:val="99"/>
    <w:rsid w:val="008A78D1"/>
    <w:rPr>
      <w:color w:val="585858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8A78D1"/>
    <w:rPr>
      <w:sz w:val="24"/>
      <w:szCs w:val="24"/>
    </w:rPr>
    <w:tblPr>
      <w:tblBorders>
        <w:top w:val="single" w:sz="4" w:space="0" w:color="838383" w:themeColor="text2" w:themeShade="BF"/>
        <w:left w:val="single" w:sz="4" w:space="0" w:color="838383" w:themeColor="text2" w:themeShade="BF"/>
        <w:bottom w:val="single" w:sz="4" w:space="0" w:color="838383" w:themeColor="text2" w:themeShade="BF"/>
        <w:right w:val="single" w:sz="4" w:space="0" w:color="838383" w:themeColor="text2" w:themeShade="BF"/>
        <w:insideH w:val="single" w:sz="4" w:space="0" w:color="838383" w:themeColor="text2" w:themeShade="BF"/>
        <w:insideV w:val="single" w:sz="4" w:space="0" w:color="838383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24242" w:themeColor="accent3" w:themeShade="BF"/>
      </w:rPr>
      <w:tblPr/>
      <w:trPr>
        <w:tblHeader/>
      </w:trPr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</w:tcBorders>
        <w:shd w:val="clear" w:color="auto" w:fill="DFDFDF" w:themeFill="background2" w:themeFillShade="E6"/>
      </w:tcPr>
    </w:tblStylePr>
  </w:style>
  <w:style w:type="paragraph" w:styleId="Bibliography">
    <w:name w:val="Bibliography"/>
    <w:basedOn w:val="Normal"/>
    <w:next w:val="Normal"/>
    <w:uiPriority w:val="98"/>
    <w:semiHidden/>
    <w:rsid w:val="008A78D1"/>
  </w:style>
  <w:style w:type="paragraph" w:styleId="BlockText">
    <w:name w:val="Block Text"/>
    <w:basedOn w:val="Normal"/>
    <w:uiPriority w:val="98"/>
    <w:semiHidden/>
    <w:rsid w:val="008A78D1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table" w:customStyle="1" w:styleId="ECHRHeaderTable">
    <w:name w:val="ECHR_Header_Table"/>
    <w:basedOn w:val="TableNormal"/>
    <w:uiPriority w:val="99"/>
    <w:rsid w:val="008A78D1"/>
    <w:rPr>
      <w:sz w:val="24"/>
      <w:szCs w:val="24"/>
    </w:rPr>
    <w:tblPr>
      <w:tblInd w:w="-1474" w:type="dxa"/>
      <w:tblBorders>
        <w:bottom w:val="single" w:sz="6" w:space="0" w:color="838383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styleId="BodyText">
    <w:name w:val="Body Text"/>
    <w:basedOn w:val="Normal"/>
    <w:link w:val="BodyTextChar"/>
    <w:uiPriority w:val="98"/>
    <w:semiHidden/>
    <w:rsid w:val="008A78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8A78D1"/>
    <w:rPr>
      <w:sz w:val="24"/>
      <w:szCs w:val="24"/>
      <w:lang w:val="bg-BG"/>
    </w:rPr>
  </w:style>
  <w:style w:type="table" w:customStyle="1" w:styleId="ECHRTableOddBanded">
    <w:name w:val="ECHR_Table_Odd_Banded"/>
    <w:basedOn w:val="TableNormal"/>
    <w:uiPriority w:val="99"/>
    <w:rsid w:val="008A78D1"/>
    <w:tblPr>
      <w:tblStyleRowBandSize w:val="1"/>
      <w:tblStyleColBandSize w:val="1"/>
      <w:tblBorders>
        <w:top w:val="single" w:sz="4" w:space="0" w:color="838383" w:themeColor="text2" w:themeShade="BF"/>
        <w:left w:val="single" w:sz="4" w:space="0" w:color="838383" w:themeColor="text2" w:themeShade="BF"/>
        <w:bottom w:val="single" w:sz="4" w:space="0" w:color="838383" w:themeColor="text2" w:themeShade="BF"/>
        <w:right w:val="single" w:sz="4" w:space="0" w:color="838383" w:themeColor="text2" w:themeShade="BF"/>
        <w:insideH w:val="single" w:sz="4" w:space="0" w:color="838383" w:themeColor="text2" w:themeShade="BF"/>
        <w:insideV w:val="single" w:sz="4" w:space="0" w:color="838383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24242" w:themeColor="accent3" w:themeShade="BF"/>
        <w:sz w:val="22"/>
      </w:rPr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nil"/>
          <w:insideV w:val="single" w:sz="4" w:space="0" w:color="838383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styleId="BodyText2">
    <w:name w:val="Body Text 2"/>
    <w:basedOn w:val="Normal"/>
    <w:link w:val="BodyText2Char"/>
    <w:uiPriority w:val="98"/>
    <w:semiHidden/>
    <w:rsid w:val="008A78D1"/>
    <w:pPr>
      <w:spacing w:after="120" w:line="480" w:lineRule="auto"/>
    </w:pPr>
  </w:style>
  <w:style w:type="table" w:customStyle="1" w:styleId="ECHRHeaderTableReduced">
    <w:name w:val="ECHR_Header_Table_Reduced"/>
    <w:basedOn w:val="TableNormal"/>
    <w:uiPriority w:val="99"/>
    <w:rsid w:val="008A78D1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838383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838383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Case">
    <w:name w:val="Ju_Case"/>
    <w:aliases w:val="_Case_Name"/>
    <w:basedOn w:val="NormalJustified"/>
    <w:next w:val="JuPara"/>
    <w:uiPriority w:val="32"/>
    <w:rsid w:val="008A78D1"/>
    <w:pPr>
      <w:ind w:firstLine="284"/>
    </w:pPr>
    <w:rPr>
      <w:b/>
    </w:rPr>
  </w:style>
  <w:style w:type="character" w:styleId="PageNumber">
    <w:name w:val="page number"/>
    <w:uiPriority w:val="98"/>
    <w:semiHidden/>
    <w:rsid w:val="008A78D1"/>
    <w:rPr>
      <w:sz w:val="18"/>
    </w:rPr>
  </w:style>
  <w:style w:type="paragraph" w:styleId="ListBullet">
    <w:name w:val="List Bullet"/>
    <w:basedOn w:val="Normal"/>
    <w:uiPriority w:val="98"/>
    <w:semiHidden/>
    <w:rsid w:val="008A78D1"/>
    <w:pPr>
      <w:numPr>
        <w:numId w:val="5"/>
      </w:numPr>
    </w:pPr>
  </w:style>
  <w:style w:type="paragraph" w:styleId="ListBullet3">
    <w:name w:val="List Bullet 3"/>
    <w:basedOn w:val="Normal"/>
    <w:uiPriority w:val="98"/>
    <w:semiHidden/>
    <w:rsid w:val="008A78D1"/>
    <w:pPr>
      <w:numPr>
        <w:numId w:val="7"/>
      </w:numPr>
      <w:contextualSpacing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8A78D1"/>
    <w:rPr>
      <w:sz w:val="24"/>
      <w:szCs w:val="24"/>
      <w:lang w:val="bg-BG"/>
    </w:rPr>
  </w:style>
  <w:style w:type="paragraph" w:styleId="BodyText3">
    <w:name w:val="Body Text 3"/>
    <w:basedOn w:val="Normal"/>
    <w:link w:val="BodyText3Char"/>
    <w:uiPriority w:val="98"/>
    <w:semiHidden/>
    <w:rsid w:val="008A78D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8A78D1"/>
    <w:rPr>
      <w:sz w:val="16"/>
      <w:szCs w:val="16"/>
      <w:lang w:val="bg-BG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8A78D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8A78D1"/>
    <w:rPr>
      <w:sz w:val="24"/>
      <w:szCs w:val="24"/>
      <w:lang w:val="bg-BG"/>
    </w:rPr>
  </w:style>
  <w:style w:type="paragraph" w:styleId="BodyTextIndent">
    <w:name w:val="Body Text Indent"/>
    <w:basedOn w:val="Normal"/>
    <w:link w:val="BodyTextIndentChar"/>
    <w:uiPriority w:val="98"/>
    <w:semiHidden/>
    <w:rsid w:val="008A78D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8A78D1"/>
    <w:rPr>
      <w:sz w:val="24"/>
      <w:szCs w:val="24"/>
      <w:lang w:val="bg-BG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8A78D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8A78D1"/>
    <w:rPr>
      <w:sz w:val="24"/>
      <w:szCs w:val="24"/>
      <w:lang w:val="bg-BG"/>
    </w:rPr>
  </w:style>
  <w:style w:type="paragraph" w:styleId="BodyTextIndent2">
    <w:name w:val="Body Text Indent 2"/>
    <w:basedOn w:val="Normal"/>
    <w:link w:val="BodyTextIndent2Char"/>
    <w:uiPriority w:val="98"/>
    <w:semiHidden/>
    <w:rsid w:val="008A78D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8A78D1"/>
    <w:rPr>
      <w:sz w:val="24"/>
      <w:szCs w:val="24"/>
      <w:lang w:val="bg-BG"/>
    </w:rPr>
  </w:style>
  <w:style w:type="paragraph" w:styleId="BodyTextIndent3">
    <w:name w:val="Body Text Indent 3"/>
    <w:basedOn w:val="Normal"/>
    <w:link w:val="BodyTextIndent3Char"/>
    <w:uiPriority w:val="98"/>
    <w:semiHidden/>
    <w:rsid w:val="008A78D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8A78D1"/>
    <w:rPr>
      <w:sz w:val="16"/>
      <w:szCs w:val="16"/>
      <w:lang w:val="bg-BG"/>
    </w:rPr>
  </w:style>
  <w:style w:type="paragraph" w:styleId="Caption">
    <w:name w:val="caption"/>
    <w:basedOn w:val="Normal"/>
    <w:next w:val="Normal"/>
    <w:uiPriority w:val="98"/>
    <w:semiHidden/>
    <w:qFormat/>
    <w:rsid w:val="008A78D1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8A78D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8A78D1"/>
    <w:rPr>
      <w:sz w:val="24"/>
      <w:szCs w:val="24"/>
      <w:lang w:val="bg-BG"/>
    </w:rPr>
  </w:style>
  <w:style w:type="table" w:styleId="ColorfulGrid">
    <w:name w:val="Colorful Grid"/>
    <w:basedOn w:val="TableNormal"/>
    <w:uiPriority w:val="73"/>
    <w:semiHidden/>
    <w:rsid w:val="008A78D1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8A78D1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8A78D1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8A78D1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3" w:themeFillTint="33"/>
    </w:tcPr>
    <w:tblStylePr w:type="firstRow">
      <w:rPr>
        <w:b/>
        <w:bCs/>
      </w:rPr>
      <w:tblPr/>
      <w:tcPr>
        <w:shd w:val="clear" w:color="auto" w:fill="BCBC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BC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2424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24242" w:themeFill="accent3" w:themeFillShade="BF"/>
      </w:tcPr>
    </w:tblStylePr>
    <w:tblStylePr w:type="band1Vert">
      <w:tblPr/>
      <w:tcPr>
        <w:shd w:val="clear" w:color="auto" w:fill="ACACAC" w:themeFill="accent3" w:themeFillTint="7F"/>
      </w:tcPr>
    </w:tblStylePr>
    <w:tblStylePr w:type="band1Horz">
      <w:tblPr/>
      <w:tcPr>
        <w:shd w:val="clear" w:color="auto" w:fill="ACAC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8A78D1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8A78D1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8A78D1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8A78D1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8A78D1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8A78D1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8A78D1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EEE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8A78D1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4747" w:themeFill="accent3" w:themeFillShade="CC"/>
      </w:tcPr>
    </w:tblStylePr>
    <w:tblStylePr w:type="lastRow">
      <w:rPr>
        <w:b/>
        <w:bCs/>
        <w:color w:val="47474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8A78D1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8A78D1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8A78D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8A78D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8A78D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8A78D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95959" w:themeColor="accent3"/>
        <w:bottom w:val="single" w:sz="4" w:space="0" w:color="595959" w:themeColor="accent3"/>
        <w:right w:val="single" w:sz="4" w:space="0" w:color="5959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353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3535" w:themeColor="accent3" w:themeShade="99"/>
          <w:insideV w:val="nil"/>
        </w:tcBorders>
        <w:shd w:val="clear" w:color="auto" w:fill="35353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3535" w:themeFill="accent3" w:themeFillShade="99"/>
      </w:tcPr>
    </w:tblStylePr>
    <w:tblStylePr w:type="band1Vert">
      <w:tblPr/>
      <w:tcPr>
        <w:shd w:val="clear" w:color="auto" w:fill="BCBCBC" w:themeFill="accent3" w:themeFillTint="66"/>
      </w:tcPr>
    </w:tblStylePr>
    <w:tblStylePr w:type="band1Horz">
      <w:tblPr/>
      <w:tcPr>
        <w:shd w:val="clear" w:color="auto" w:fill="ACAC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8A78D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95959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59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8A78D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8A78D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8"/>
    <w:semiHidden/>
    <w:rsid w:val="008A78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8A78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8A78D1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8A7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8A78D1"/>
    <w:rPr>
      <w:b/>
      <w:bCs/>
      <w:sz w:val="20"/>
      <w:szCs w:val="20"/>
      <w:lang w:val="bg-BG"/>
    </w:rPr>
  </w:style>
  <w:style w:type="table" w:styleId="DarkList">
    <w:name w:val="Dark List"/>
    <w:basedOn w:val="TableNormal"/>
    <w:uiPriority w:val="70"/>
    <w:semiHidden/>
    <w:rsid w:val="008A78D1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8A78D1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8A78D1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8A78D1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5959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2C2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424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424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8A78D1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8A78D1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8A78D1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8A78D1"/>
  </w:style>
  <w:style w:type="character" w:customStyle="1" w:styleId="DateChar">
    <w:name w:val="Date Char"/>
    <w:basedOn w:val="DefaultParagraphFont"/>
    <w:link w:val="Date"/>
    <w:uiPriority w:val="98"/>
    <w:semiHidden/>
    <w:rsid w:val="008A78D1"/>
    <w:rPr>
      <w:sz w:val="24"/>
      <w:szCs w:val="24"/>
      <w:lang w:val="bg-BG"/>
    </w:rPr>
  </w:style>
  <w:style w:type="paragraph" w:styleId="DocumentMap">
    <w:name w:val="Document Map"/>
    <w:basedOn w:val="Normal"/>
    <w:link w:val="DocumentMapChar"/>
    <w:uiPriority w:val="98"/>
    <w:semiHidden/>
    <w:rsid w:val="008A78D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8A78D1"/>
    <w:rPr>
      <w:rFonts w:ascii="Tahoma" w:hAnsi="Tahoma" w:cs="Tahoma"/>
      <w:sz w:val="16"/>
      <w:szCs w:val="16"/>
      <w:lang w:val="bg-BG"/>
    </w:rPr>
  </w:style>
  <w:style w:type="paragraph" w:styleId="E-mailSignature">
    <w:name w:val="E-mail Signature"/>
    <w:basedOn w:val="Normal"/>
    <w:link w:val="E-mailSignatureChar"/>
    <w:uiPriority w:val="98"/>
    <w:semiHidden/>
    <w:rsid w:val="008A78D1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8A78D1"/>
    <w:rPr>
      <w:sz w:val="24"/>
      <w:szCs w:val="24"/>
      <w:lang w:val="bg-BG"/>
    </w:rPr>
  </w:style>
  <w:style w:type="character" w:styleId="EndnoteReference">
    <w:name w:val="endnote reference"/>
    <w:basedOn w:val="DefaultParagraphFont"/>
    <w:uiPriority w:val="98"/>
    <w:semiHidden/>
    <w:rsid w:val="008A78D1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8A78D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8A78D1"/>
    <w:rPr>
      <w:sz w:val="20"/>
      <w:szCs w:val="20"/>
      <w:lang w:val="bg-BG"/>
    </w:rPr>
  </w:style>
  <w:style w:type="paragraph" w:styleId="EnvelopeAddress">
    <w:name w:val="envelope address"/>
    <w:basedOn w:val="Normal"/>
    <w:uiPriority w:val="98"/>
    <w:semiHidden/>
    <w:rsid w:val="008A78D1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8A78D1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8A78D1"/>
    <w:rPr>
      <w:color w:val="7030A0" w:themeColor="followedHyperlink"/>
      <w:u w:val="single"/>
    </w:rPr>
  </w:style>
  <w:style w:type="character" w:styleId="HTMLAcronym">
    <w:name w:val="HTML Acronym"/>
    <w:basedOn w:val="DefaultParagraphFont"/>
    <w:uiPriority w:val="98"/>
    <w:semiHidden/>
    <w:rsid w:val="008A78D1"/>
  </w:style>
  <w:style w:type="paragraph" w:styleId="HTMLAddress">
    <w:name w:val="HTML Address"/>
    <w:basedOn w:val="Normal"/>
    <w:link w:val="HTMLAddressChar"/>
    <w:uiPriority w:val="98"/>
    <w:semiHidden/>
    <w:rsid w:val="008A78D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8A78D1"/>
    <w:rPr>
      <w:i/>
      <w:iCs/>
      <w:sz w:val="24"/>
      <w:szCs w:val="24"/>
      <w:lang w:val="bg-BG"/>
    </w:rPr>
  </w:style>
  <w:style w:type="character" w:styleId="HTMLCite">
    <w:name w:val="HTML Cite"/>
    <w:basedOn w:val="DefaultParagraphFont"/>
    <w:uiPriority w:val="98"/>
    <w:semiHidden/>
    <w:rsid w:val="008A78D1"/>
    <w:rPr>
      <w:i/>
      <w:iCs/>
    </w:rPr>
  </w:style>
  <w:style w:type="character" w:styleId="HTMLCode">
    <w:name w:val="HTML Code"/>
    <w:basedOn w:val="DefaultParagraphFont"/>
    <w:uiPriority w:val="98"/>
    <w:semiHidden/>
    <w:rsid w:val="008A78D1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8A78D1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8A78D1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8A78D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8A78D1"/>
    <w:rPr>
      <w:rFonts w:ascii="Consolas" w:hAnsi="Consolas" w:cs="Consolas"/>
      <w:sz w:val="20"/>
      <w:szCs w:val="20"/>
      <w:lang w:val="bg-BG"/>
    </w:rPr>
  </w:style>
  <w:style w:type="character" w:styleId="HTMLSample">
    <w:name w:val="HTML Sample"/>
    <w:basedOn w:val="DefaultParagraphFont"/>
    <w:uiPriority w:val="98"/>
    <w:semiHidden/>
    <w:rsid w:val="008A78D1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8A78D1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8A78D1"/>
    <w:rPr>
      <w:i/>
      <w:iCs/>
    </w:rPr>
  </w:style>
  <w:style w:type="paragraph" w:styleId="Index1">
    <w:name w:val="index 1"/>
    <w:basedOn w:val="Normal"/>
    <w:next w:val="Normal"/>
    <w:autoRedefine/>
    <w:uiPriority w:val="98"/>
    <w:semiHidden/>
    <w:rsid w:val="008A78D1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8A78D1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8A78D1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8A78D1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8A78D1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8A78D1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8A78D1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8A78D1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8A78D1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8A78D1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8A78D1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8A78D1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8A78D1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8A78D1"/>
    <w:rPr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left w:val="single" w:sz="8" w:space="0" w:color="595959" w:themeColor="accent3"/>
        <w:bottom w:val="single" w:sz="8" w:space="0" w:color="595959" w:themeColor="accent3"/>
        <w:right w:val="single" w:sz="8" w:space="0" w:color="595959" w:themeColor="accent3"/>
        <w:insideH w:val="single" w:sz="8" w:space="0" w:color="595959" w:themeColor="accent3"/>
        <w:insideV w:val="single" w:sz="8" w:space="0" w:color="5959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18" w:space="0" w:color="595959" w:themeColor="accent3"/>
          <w:right w:val="single" w:sz="8" w:space="0" w:color="595959" w:themeColor="accent3"/>
          <w:insideH w:val="nil"/>
          <w:insideV w:val="single" w:sz="8" w:space="0" w:color="5959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  <w:insideH w:val="nil"/>
          <w:insideV w:val="single" w:sz="8" w:space="0" w:color="5959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</w:tcPr>
    </w:tblStylePr>
    <w:tblStylePr w:type="band1Vert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  <w:shd w:val="clear" w:color="auto" w:fill="D5D5D5" w:themeFill="accent3" w:themeFillTint="3F"/>
      </w:tcPr>
    </w:tblStylePr>
    <w:tblStylePr w:type="band1Horz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  <w:insideV w:val="single" w:sz="8" w:space="0" w:color="595959" w:themeColor="accent3"/>
        </w:tcBorders>
        <w:shd w:val="clear" w:color="auto" w:fill="D5D5D5" w:themeFill="accent3" w:themeFillTint="3F"/>
      </w:tcPr>
    </w:tblStylePr>
    <w:tblStylePr w:type="band2Horz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  <w:insideV w:val="single" w:sz="8" w:space="0" w:color="5959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8A78D1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8A78D1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8A78D1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8A78D1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8A78D1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8A78D1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8A78D1"/>
    <w:rPr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left w:val="single" w:sz="8" w:space="0" w:color="595959" w:themeColor="accent3"/>
        <w:bottom w:val="single" w:sz="8" w:space="0" w:color="595959" w:themeColor="accent3"/>
        <w:right w:val="single" w:sz="8" w:space="0" w:color="5959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59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</w:tcPr>
    </w:tblStylePr>
    <w:tblStylePr w:type="band1Horz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8A78D1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8A78D1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8A78D1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8A78D1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8A78D1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8A78D1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8A78D1"/>
    <w:rPr>
      <w:color w:val="424242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bottom w:val="single" w:sz="8" w:space="0" w:color="5959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59" w:themeColor="accent3"/>
          <w:left w:val="nil"/>
          <w:bottom w:val="single" w:sz="8" w:space="0" w:color="5959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59" w:themeColor="accent3"/>
          <w:left w:val="nil"/>
          <w:bottom w:val="single" w:sz="8" w:space="0" w:color="5959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8A78D1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8A78D1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8A78D1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8A78D1"/>
  </w:style>
  <w:style w:type="paragraph" w:styleId="List">
    <w:name w:val="List"/>
    <w:basedOn w:val="Normal"/>
    <w:uiPriority w:val="98"/>
    <w:semiHidden/>
    <w:rsid w:val="008A78D1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8A78D1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8A78D1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8A78D1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8A78D1"/>
    <w:pPr>
      <w:ind w:left="1415" w:hanging="283"/>
      <w:contextualSpacing/>
    </w:pPr>
  </w:style>
  <w:style w:type="paragraph" w:styleId="ListBullet2">
    <w:name w:val="List Bullet 2"/>
    <w:basedOn w:val="Normal"/>
    <w:uiPriority w:val="98"/>
    <w:semiHidden/>
    <w:rsid w:val="008A78D1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8"/>
    <w:semiHidden/>
    <w:rsid w:val="008A78D1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8"/>
    <w:semiHidden/>
    <w:rsid w:val="008A78D1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8"/>
    <w:semiHidden/>
    <w:rsid w:val="008A78D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8A78D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8A78D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8A78D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8A78D1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A78D1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8"/>
    <w:semiHidden/>
    <w:rsid w:val="008A78D1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8"/>
    <w:semiHidden/>
    <w:rsid w:val="008A78D1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8"/>
    <w:semiHidden/>
    <w:rsid w:val="008A78D1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8"/>
    <w:semiHidden/>
    <w:rsid w:val="008A78D1"/>
    <w:pPr>
      <w:numPr>
        <w:numId w:val="14"/>
      </w:numPr>
      <w:contextualSpacing/>
    </w:pPr>
  </w:style>
  <w:style w:type="paragraph" w:styleId="MacroText">
    <w:name w:val="macro"/>
    <w:link w:val="MacroTextChar"/>
    <w:uiPriority w:val="98"/>
    <w:semiHidden/>
    <w:rsid w:val="008A78D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8A78D1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8A78D1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8A78D1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8A78D1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8A78D1"/>
    <w:rPr>
      <w:sz w:val="24"/>
      <w:szCs w:val="24"/>
    </w:rPr>
    <w:tblPr>
      <w:tblStyleRowBandSize w:val="1"/>
      <w:tblStyleColBandSize w:val="1"/>
      <w:tblBorders>
        <w:top w:val="single" w:sz="8" w:space="0" w:color="828282" w:themeColor="accent3" w:themeTint="BF"/>
        <w:left w:val="single" w:sz="8" w:space="0" w:color="828282" w:themeColor="accent3" w:themeTint="BF"/>
        <w:bottom w:val="single" w:sz="8" w:space="0" w:color="828282" w:themeColor="accent3" w:themeTint="BF"/>
        <w:right w:val="single" w:sz="8" w:space="0" w:color="828282" w:themeColor="accent3" w:themeTint="BF"/>
        <w:insideH w:val="single" w:sz="8" w:space="0" w:color="828282" w:themeColor="accent3" w:themeTint="BF"/>
        <w:insideV w:val="single" w:sz="8" w:space="0" w:color="828282" w:themeColor="accent3" w:themeTint="BF"/>
      </w:tblBorders>
    </w:tblPr>
    <w:tcPr>
      <w:shd w:val="clear" w:color="auto" w:fill="D5D5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82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ACAC" w:themeFill="accent3" w:themeFillTint="7F"/>
      </w:tcPr>
    </w:tblStylePr>
    <w:tblStylePr w:type="band1Horz">
      <w:tblPr/>
      <w:tcPr>
        <w:shd w:val="clear" w:color="auto" w:fill="ACAC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8A78D1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8A78D1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8A78D1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8A78D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8A78D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8A78D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8A78D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left w:val="single" w:sz="8" w:space="0" w:color="595959" w:themeColor="accent3"/>
        <w:bottom w:val="single" w:sz="8" w:space="0" w:color="595959" w:themeColor="accent3"/>
        <w:right w:val="single" w:sz="8" w:space="0" w:color="595959" w:themeColor="accent3"/>
        <w:insideH w:val="single" w:sz="8" w:space="0" w:color="595959" w:themeColor="accent3"/>
        <w:insideV w:val="single" w:sz="8" w:space="0" w:color="595959" w:themeColor="accent3"/>
      </w:tblBorders>
    </w:tblPr>
    <w:tcPr>
      <w:shd w:val="clear" w:color="auto" w:fill="D5D5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3" w:themeFillTint="33"/>
      </w:tcPr>
    </w:tblStylePr>
    <w:tblStylePr w:type="band1Vert">
      <w:tblPr/>
      <w:tcPr>
        <w:shd w:val="clear" w:color="auto" w:fill="ACACAC" w:themeFill="accent3" w:themeFillTint="7F"/>
      </w:tcPr>
    </w:tblStylePr>
    <w:tblStylePr w:type="band1Horz">
      <w:tblPr/>
      <w:tcPr>
        <w:tcBorders>
          <w:insideH w:val="single" w:sz="6" w:space="0" w:color="595959" w:themeColor="accent3"/>
          <w:insideV w:val="single" w:sz="6" w:space="0" w:color="595959" w:themeColor="accent3"/>
        </w:tcBorders>
        <w:shd w:val="clear" w:color="auto" w:fill="ACAC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8A78D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8A78D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8A78D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8A78D1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8A78D1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8A78D1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8A78D1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59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59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AC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AC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8A78D1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8A78D1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8A78D1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8A78D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8A78D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8A78D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8A78D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bottom w:val="single" w:sz="8" w:space="0" w:color="5959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5959" w:themeColor="accent3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595959" w:themeColor="accent3"/>
          <w:bottom w:val="single" w:sz="8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5959" w:themeColor="accent3"/>
          <w:bottom w:val="single" w:sz="8" w:space="0" w:color="595959" w:themeColor="accent3"/>
        </w:tcBorders>
      </w:tcPr>
    </w:tblStylePr>
    <w:tblStylePr w:type="band1Vert">
      <w:tblPr/>
      <w:tcPr>
        <w:shd w:val="clear" w:color="auto" w:fill="D5D5D5" w:themeFill="accent3" w:themeFillTint="3F"/>
      </w:tcPr>
    </w:tblStylePr>
    <w:tblStylePr w:type="band1Horz">
      <w:tblPr/>
      <w:tcPr>
        <w:shd w:val="clear" w:color="auto" w:fill="D5D5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8A78D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8A78D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8A78D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8A78D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8A78D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8A78D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8A78D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left w:val="single" w:sz="8" w:space="0" w:color="595959" w:themeColor="accent3"/>
        <w:bottom w:val="single" w:sz="8" w:space="0" w:color="595959" w:themeColor="accent3"/>
        <w:right w:val="single" w:sz="8" w:space="0" w:color="5959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59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959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59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59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8A78D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8A78D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8A78D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8A78D1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8A78D1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8A78D1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8A78D1"/>
    <w:rPr>
      <w:sz w:val="24"/>
      <w:szCs w:val="24"/>
    </w:rPr>
    <w:tblPr>
      <w:tblStyleRowBandSize w:val="1"/>
      <w:tblStyleColBandSize w:val="1"/>
      <w:tblBorders>
        <w:top w:val="single" w:sz="8" w:space="0" w:color="828282" w:themeColor="accent3" w:themeTint="BF"/>
        <w:left w:val="single" w:sz="8" w:space="0" w:color="828282" w:themeColor="accent3" w:themeTint="BF"/>
        <w:bottom w:val="single" w:sz="8" w:space="0" w:color="828282" w:themeColor="accent3" w:themeTint="BF"/>
        <w:right w:val="single" w:sz="8" w:space="0" w:color="828282" w:themeColor="accent3" w:themeTint="BF"/>
        <w:insideH w:val="single" w:sz="8" w:space="0" w:color="8282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8282" w:themeColor="accent3" w:themeTint="BF"/>
          <w:left w:val="single" w:sz="8" w:space="0" w:color="828282" w:themeColor="accent3" w:themeTint="BF"/>
          <w:bottom w:val="single" w:sz="8" w:space="0" w:color="828282" w:themeColor="accent3" w:themeTint="BF"/>
          <w:right w:val="single" w:sz="8" w:space="0" w:color="828282" w:themeColor="accent3" w:themeTint="BF"/>
          <w:insideH w:val="nil"/>
          <w:insideV w:val="nil"/>
        </w:tcBorders>
        <w:shd w:val="clear" w:color="auto" w:fill="5959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282" w:themeColor="accent3" w:themeTint="BF"/>
          <w:left w:val="single" w:sz="8" w:space="0" w:color="828282" w:themeColor="accent3" w:themeTint="BF"/>
          <w:bottom w:val="single" w:sz="8" w:space="0" w:color="828282" w:themeColor="accent3" w:themeTint="BF"/>
          <w:right w:val="single" w:sz="8" w:space="0" w:color="8282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8A78D1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8A78D1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8A78D1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8A78D1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8A78D1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8A78D1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8A78D1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59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8A78D1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8A78D1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8A78D1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8A78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8A78D1"/>
    <w:rPr>
      <w:rFonts w:asciiTheme="majorHAnsi" w:eastAsiaTheme="majorEastAsia" w:hAnsiTheme="majorHAnsi" w:cstheme="majorBidi"/>
      <w:sz w:val="24"/>
      <w:szCs w:val="24"/>
      <w:shd w:val="pct20" w:color="auto" w:fill="auto"/>
      <w:lang w:val="bg-BG"/>
    </w:rPr>
  </w:style>
  <w:style w:type="paragraph" w:styleId="NormalWeb">
    <w:name w:val="Normal (Web)"/>
    <w:basedOn w:val="Normal"/>
    <w:uiPriority w:val="98"/>
    <w:semiHidden/>
    <w:rsid w:val="008A78D1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8A78D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8"/>
    <w:semiHidden/>
    <w:rsid w:val="008A78D1"/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8A78D1"/>
    <w:rPr>
      <w:sz w:val="24"/>
      <w:szCs w:val="24"/>
      <w:lang w:val="bg-BG"/>
    </w:rPr>
  </w:style>
  <w:style w:type="character" w:styleId="PlaceholderText">
    <w:name w:val="Placeholder Text"/>
    <w:basedOn w:val="DefaultParagraphFont"/>
    <w:uiPriority w:val="98"/>
    <w:semiHidden/>
    <w:rsid w:val="008A78D1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8"/>
    <w:semiHidden/>
    <w:rsid w:val="008A78D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8A78D1"/>
    <w:rPr>
      <w:rFonts w:ascii="Consolas" w:hAnsi="Consolas" w:cs="Consolas"/>
      <w:sz w:val="21"/>
      <w:szCs w:val="21"/>
      <w:lang w:val="bg-BG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8A78D1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8A78D1"/>
    <w:rPr>
      <w:sz w:val="24"/>
      <w:szCs w:val="24"/>
      <w:lang w:val="bg-BG"/>
    </w:rPr>
  </w:style>
  <w:style w:type="paragraph" w:styleId="Signature">
    <w:name w:val="Signature"/>
    <w:basedOn w:val="Normal"/>
    <w:link w:val="SignatureChar"/>
    <w:uiPriority w:val="98"/>
    <w:semiHidden/>
    <w:rsid w:val="008A78D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8A78D1"/>
    <w:rPr>
      <w:sz w:val="24"/>
      <w:szCs w:val="24"/>
      <w:lang w:val="bg-BG"/>
    </w:rPr>
  </w:style>
  <w:style w:type="table" w:styleId="Table3Deffects1">
    <w:name w:val="Table 3D effects 1"/>
    <w:basedOn w:val="TableNormal"/>
    <w:uiPriority w:val="99"/>
    <w:semiHidden/>
    <w:unhideWhenUsed/>
    <w:rsid w:val="008A78D1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A78D1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A78D1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A78D1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A78D1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A78D1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A78D1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A78D1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A78D1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A78D1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A78D1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A78D1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A78D1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A78D1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A78D1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A78D1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A78D1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A78D1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A78D1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A78D1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A78D1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A78D1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A78D1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A78D1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A78D1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A78D1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A78D1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A78D1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A78D1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A78D1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A78D1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A78D1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A78D1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8A78D1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8A78D1"/>
  </w:style>
  <w:style w:type="table" w:styleId="TableProfessional">
    <w:name w:val="Table Professional"/>
    <w:basedOn w:val="TableNormal"/>
    <w:uiPriority w:val="99"/>
    <w:semiHidden/>
    <w:unhideWhenUsed/>
    <w:rsid w:val="008A78D1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A78D1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A78D1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A78D1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A78D1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A78D1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A78D1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A78D1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A78D1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A78D1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8"/>
    <w:semiHidden/>
    <w:rsid w:val="008A78D1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8A78D1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8A78D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8A78D1"/>
    <w:pPr>
      <w:spacing w:after="100"/>
      <w:ind w:left="1920"/>
    </w:pPr>
  </w:style>
  <w:style w:type="paragraph" w:customStyle="1" w:styleId="ECHRFooter">
    <w:name w:val="ECHR_Footer"/>
    <w:aliases w:val="Footer_ECHR"/>
    <w:basedOn w:val="Footer0"/>
    <w:uiPriority w:val="57"/>
    <w:semiHidden/>
    <w:rsid w:val="0064393B"/>
    <w:rPr>
      <w:sz w:val="8"/>
    </w:rPr>
  </w:style>
  <w:style w:type="paragraph" w:customStyle="1" w:styleId="ECHRFooterLine">
    <w:name w:val="ECHR_Footer_Line"/>
    <w:aliases w:val="_Footer_Line"/>
    <w:basedOn w:val="Normal"/>
    <w:next w:val="Normal"/>
    <w:uiPriority w:val="30"/>
    <w:semiHidden/>
    <w:rsid w:val="008A78D1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8A78D1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customStyle="1" w:styleId="JuTitle">
    <w:name w:val="Ju_Title"/>
    <w:aliases w:val="_Title_2"/>
    <w:basedOn w:val="Normal"/>
    <w:next w:val="JuPara"/>
    <w:uiPriority w:val="38"/>
    <w:qFormat/>
    <w:rsid w:val="008A78D1"/>
    <w:pPr>
      <w:keepNext/>
      <w:keepLines/>
      <w:spacing w:before="1320" w:after="280"/>
      <w:contextualSpacing/>
      <w:jc w:val="center"/>
    </w:pPr>
    <w:rPr>
      <w:b/>
    </w:rPr>
  </w:style>
  <w:style w:type="paragraph" w:customStyle="1" w:styleId="ECHRHeaderLandscape">
    <w:name w:val="ECHR_Header_Landscape"/>
    <w:aliases w:val="_Header_Landscape"/>
    <w:basedOn w:val="JuHeader"/>
    <w:uiPriority w:val="29"/>
    <w:semiHidden/>
    <w:rsid w:val="008A78D1"/>
    <w:pPr>
      <w:tabs>
        <w:tab w:val="center" w:pos="6146"/>
        <w:tab w:val="right" w:pos="13778"/>
      </w:tabs>
      <w:ind w:left="-1474" w:right="-1474"/>
    </w:pPr>
  </w:style>
  <w:style w:type="paragraph" w:customStyle="1" w:styleId="ECHRBullet1">
    <w:name w:val="ECHR_Bullet_1"/>
    <w:aliases w:val="_Bul_1"/>
    <w:basedOn w:val="NormalJustified"/>
    <w:uiPriority w:val="23"/>
    <w:semiHidden/>
    <w:qFormat/>
    <w:rsid w:val="008A78D1"/>
    <w:pPr>
      <w:numPr>
        <w:numId w:val="18"/>
      </w:numPr>
      <w:spacing w:before="60" w:after="60"/>
    </w:pPr>
  </w:style>
  <w:style w:type="paragraph" w:customStyle="1" w:styleId="ECHRBullet2">
    <w:name w:val="ECHR_Bullet_2"/>
    <w:aliases w:val="_Bul_2"/>
    <w:basedOn w:val="ECHRBullet1"/>
    <w:uiPriority w:val="23"/>
    <w:semiHidden/>
    <w:rsid w:val="008A78D1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semiHidden/>
    <w:rsid w:val="008A78D1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semiHidden/>
    <w:rsid w:val="008A78D1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semiHidden/>
    <w:qFormat/>
    <w:rsid w:val="008A78D1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8A78D1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semiHidden/>
    <w:qFormat/>
    <w:rsid w:val="008A78D1"/>
    <w:pPr>
      <w:contextualSpacing/>
      <w:jc w:val="center"/>
    </w:pPr>
    <w:rPr>
      <w:rFonts w:ascii="Arial" w:hAnsi="Arial"/>
      <w:i/>
      <w:color w:val="002856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semiHidden/>
    <w:rsid w:val="008A78D1"/>
    <w:rPr>
      <w:rFonts w:ascii="Arial" w:hAnsi="Arial"/>
      <w:i/>
      <w:color w:val="002856"/>
      <w:sz w:val="32"/>
      <w:szCs w:val="24"/>
      <w:lang w:val="bg-BG"/>
    </w:rPr>
  </w:style>
  <w:style w:type="paragraph" w:customStyle="1" w:styleId="ECHRFooterLineLandscape">
    <w:name w:val="ECHR_Footer_Line_Landscape"/>
    <w:aliases w:val="_Footer_Line_Landscape"/>
    <w:basedOn w:val="Normal"/>
    <w:uiPriority w:val="30"/>
    <w:semiHidden/>
    <w:rsid w:val="008A78D1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24242" w:themeColor="accent3" w:themeShade="BF"/>
      <w:sz w:val="22"/>
    </w:rPr>
  </w:style>
  <w:style w:type="paragraph" w:customStyle="1" w:styleId="ECHRHeaderDate">
    <w:name w:val="ECHR_Header_Date"/>
    <w:aliases w:val="_Ref_Date"/>
    <w:basedOn w:val="Normal"/>
    <w:uiPriority w:val="44"/>
    <w:semiHidden/>
    <w:qFormat/>
    <w:rsid w:val="008A78D1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semiHidden/>
    <w:qFormat/>
    <w:rsid w:val="008A78D1"/>
    <w:pPr>
      <w:jc w:val="right"/>
    </w:pPr>
    <w:rPr>
      <w:i/>
      <w:sz w:val="20"/>
    </w:rPr>
  </w:style>
  <w:style w:type="paragraph" w:customStyle="1" w:styleId="ECHRHeading9">
    <w:name w:val="ECHR_Heading_9"/>
    <w:aliases w:val="_Head_9"/>
    <w:basedOn w:val="Heading9"/>
    <w:uiPriority w:val="17"/>
    <w:semiHidden/>
    <w:rsid w:val="008A78D1"/>
    <w:pPr>
      <w:keepNext/>
      <w:keepLines/>
      <w:numPr>
        <w:ilvl w:val="8"/>
        <w:numId w:val="20"/>
      </w:numPr>
      <w:spacing w:before="100" w:beforeAutospacing="1"/>
      <w:contextualSpacing/>
      <w:jc w:val="both"/>
    </w:pPr>
    <w:rPr>
      <w:i w:val="0"/>
      <w:sz w:val="18"/>
    </w:rPr>
  </w:style>
  <w:style w:type="paragraph" w:customStyle="1" w:styleId="ECHRLine">
    <w:name w:val="ECHR_Line"/>
    <w:aliases w:val="_Line"/>
    <w:basedOn w:val="NormalJustified"/>
    <w:next w:val="Normal"/>
    <w:uiPriority w:val="46"/>
    <w:semiHidden/>
    <w:rsid w:val="008A78D1"/>
    <w:pPr>
      <w:pBdr>
        <w:bottom w:val="single" w:sz="12" w:space="1" w:color="838383" w:themeColor="text2" w:themeShade="BF"/>
      </w:pBdr>
      <w:spacing w:after="120"/>
    </w:pPr>
    <w:rPr>
      <w:sz w:val="12"/>
    </w:rPr>
  </w:style>
  <w:style w:type="paragraph" w:customStyle="1" w:styleId="ECHRNumberedList1">
    <w:name w:val="ECHR_Numbered_List_1"/>
    <w:aliases w:val="_Num_1"/>
    <w:basedOn w:val="NormalJustified"/>
    <w:uiPriority w:val="23"/>
    <w:semiHidden/>
    <w:qFormat/>
    <w:rsid w:val="008A78D1"/>
    <w:pPr>
      <w:numPr>
        <w:numId w:val="19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semiHidden/>
    <w:rsid w:val="008A78D1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semiHidden/>
    <w:rsid w:val="008A78D1"/>
    <w:pPr>
      <w:numPr>
        <w:ilvl w:val="2"/>
      </w:numPr>
    </w:pPr>
  </w:style>
  <w:style w:type="paragraph" w:customStyle="1" w:styleId="ECHRParaHanging">
    <w:name w:val="ECHR_Para_Hanging"/>
    <w:aliases w:val="_Hanging"/>
    <w:basedOn w:val="NormalJustified"/>
    <w:uiPriority w:val="8"/>
    <w:semiHidden/>
    <w:qFormat/>
    <w:rsid w:val="008A78D1"/>
    <w:pPr>
      <w:ind w:left="567" w:hanging="567"/>
    </w:pPr>
  </w:style>
  <w:style w:type="paragraph" w:customStyle="1" w:styleId="ECHRParaIndent">
    <w:name w:val="ECHR_Para_Indent"/>
    <w:aliases w:val="_Indent"/>
    <w:basedOn w:val="NormalJustified"/>
    <w:uiPriority w:val="7"/>
    <w:semiHidden/>
    <w:qFormat/>
    <w:rsid w:val="008A78D1"/>
    <w:pPr>
      <w:spacing w:before="120" w:after="120"/>
      <w:ind w:left="284"/>
    </w:pPr>
  </w:style>
  <w:style w:type="character" w:customStyle="1" w:styleId="ECHRRed">
    <w:name w:val="ECHR_Red"/>
    <w:aliases w:val="_Red"/>
    <w:basedOn w:val="DefaultParagraphFont"/>
    <w:uiPriority w:val="15"/>
    <w:semiHidden/>
    <w:qFormat/>
    <w:rsid w:val="008A78D1"/>
    <w:rPr>
      <w:color w:val="C00000" w:themeColor="accent2"/>
    </w:rPr>
  </w:style>
  <w:style w:type="paragraph" w:customStyle="1" w:styleId="DecList">
    <w:name w:val="Dec_List"/>
    <w:aliases w:val="_List"/>
    <w:basedOn w:val="JuList"/>
    <w:uiPriority w:val="22"/>
    <w:rsid w:val="008A78D1"/>
    <w:pPr>
      <w:numPr>
        <w:numId w:val="0"/>
      </w:numPr>
      <w:ind w:left="284"/>
    </w:pPr>
  </w:style>
  <w:style w:type="table" w:customStyle="1" w:styleId="ECHRTable2">
    <w:name w:val="ECHR_Table_2"/>
    <w:basedOn w:val="TableNormal"/>
    <w:uiPriority w:val="99"/>
    <w:rsid w:val="008A78D1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8A78D1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95959" w:themeColor="accent3"/>
        <w:left w:val="single" w:sz="4" w:space="0" w:color="595959" w:themeColor="accent3"/>
        <w:bottom w:val="single" w:sz="4" w:space="0" w:color="595959" w:themeColor="accent3"/>
        <w:right w:val="single" w:sz="4" w:space="0" w:color="595959" w:themeColor="accent3"/>
        <w:insideH w:val="single" w:sz="4" w:space="0" w:color="595959" w:themeColor="accent3"/>
        <w:insideV w:val="single" w:sz="4" w:space="0" w:color="595959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single" w:sz="4" w:space="0" w:color="595959" w:themeColor="accent3"/>
          <w:insideV w:val="single" w:sz="4" w:space="0" w:color="F8F8F8" w:themeColor="background2"/>
          <w:tl2br w:val="nil"/>
          <w:tr2bl w:val="nil"/>
        </w:tcBorders>
        <w:shd w:val="clear" w:color="auto" w:fill="595959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95959" w:themeColor="accent3"/>
          <w:left w:val="single" w:sz="4" w:space="0" w:color="595959" w:themeColor="accent3"/>
          <w:bottom w:val="single" w:sz="8" w:space="0" w:color="595959" w:themeColor="accent3"/>
          <w:right w:val="single" w:sz="4" w:space="0" w:color="595959" w:themeColor="accent3"/>
          <w:insideH w:val="nil"/>
          <w:insideV w:val="single" w:sz="4" w:space="0" w:color="595959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  <w:tl2br w:val="nil"/>
          <w:tr2bl w:val="nil"/>
        </w:tcBorders>
        <w:shd w:val="clear" w:color="auto" w:fill="DFDFDF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  <w:tl2br w:val="nil"/>
          <w:tr2bl w:val="nil"/>
        </w:tcBorders>
        <w:shd w:val="clear" w:color="auto" w:fill="DFDFDF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DFDFDF" w:themeFill="text2" w:themeFillTint="66"/>
      </w:tcPr>
    </w:tblStylePr>
  </w:style>
  <w:style w:type="paragraph" w:customStyle="1" w:styleId="ECHRTitle1">
    <w:name w:val="ECHR_Title_1"/>
    <w:aliases w:val="_Title_L_1"/>
    <w:basedOn w:val="Normal"/>
    <w:next w:val="Normal"/>
    <w:uiPriority w:val="28"/>
    <w:semiHidden/>
    <w:qFormat/>
    <w:rsid w:val="008A78D1"/>
    <w:pPr>
      <w:keepNext/>
      <w:keepLines/>
      <w:spacing w:before="240"/>
      <w:contextualSpacing/>
    </w:pPr>
    <w:rPr>
      <w:rFonts w:asciiTheme="majorHAnsi" w:hAnsiTheme="majorHAnsi"/>
      <w:b/>
      <w:color w:val="2C2C2C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semiHidden/>
    <w:qFormat/>
    <w:rsid w:val="008A78D1"/>
    <w:pPr>
      <w:keepNext/>
      <w:keepLines/>
      <w:spacing w:before="240"/>
      <w:contextualSpacing/>
    </w:pPr>
    <w:rPr>
      <w:rFonts w:asciiTheme="majorHAnsi" w:hAnsiTheme="majorHAnsi"/>
      <w:b/>
      <w:color w:val="424242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semiHidden/>
    <w:qFormat/>
    <w:rsid w:val="008A78D1"/>
    <w:pPr>
      <w:keepNext/>
      <w:keepLines/>
      <w:spacing w:before="240"/>
      <w:contextualSpacing/>
    </w:pPr>
    <w:rPr>
      <w:rFonts w:asciiTheme="majorHAnsi" w:hAnsiTheme="majorHAnsi"/>
      <w:b/>
      <w:color w:val="424242" w:themeColor="accent3" w:themeShade="BF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semiHidden/>
    <w:qFormat/>
    <w:rsid w:val="008A78D1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C2C2C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semiHidden/>
    <w:qFormat/>
    <w:rsid w:val="008A78D1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24242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semiHidden/>
    <w:qFormat/>
    <w:rsid w:val="008A78D1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24242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semiHidden/>
    <w:qFormat/>
    <w:rsid w:val="008A78D1"/>
    <w:pPr>
      <w:outlineLvl w:val="0"/>
    </w:pPr>
  </w:style>
  <w:style w:type="paragraph" w:customStyle="1" w:styleId="ECHRTitleTOC1">
    <w:name w:val="ECHR_Title_TOC_1"/>
    <w:aliases w:val="_Title_L_TOC"/>
    <w:basedOn w:val="ECHRTitle1"/>
    <w:next w:val="Normal"/>
    <w:uiPriority w:val="27"/>
    <w:semiHidden/>
    <w:qFormat/>
    <w:rsid w:val="008A78D1"/>
    <w:pPr>
      <w:outlineLvl w:val="0"/>
    </w:pPr>
  </w:style>
  <w:style w:type="paragraph" w:customStyle="1" w:styleId="ECHRPlaceholder">
    <w:name w:val="ECHR_Placeholder"/>
    <w:aliases w:val="_Placeholder"/>
    <w:basedOn w:val="JuSigned"/>
    <w:uiPriority w:val="31"/>
    <w:rsid w:val="008A78D1"/>
    <w:rPr>
      <w:color w:val="FFFFFF"/>
    </w:rPr>
  </w:style>
  <w:style w:type="paragraph" w:customStyle="1" w:styleId="ECHRSpacer">
    <w:name w:val="ECHR_Spacer"/>
    <w:aliases w:val="_Spacer"/>
    <w:basedOn w:val="Normal"/>
    <w:uiPriority w:val="45"/>
    <w:semiHidden/>
    <w:rsid w:val="008A78D1"/>
    <w:rPr>
      <w:sz w:val="4"/>
    </w:rPr>
  </w:style>
  <w:style w:type="table" w:customStyle="1" w:styleId="ECHRTableGrey">
    <w:name w:val="ECHR_Table_Grey"/>
    <w:basedOn w:val="TableNormal"/>
    <w:uiPriority w:val="99"/>
    <w:rsid w:val="008A78D1"/>
    <w:pPr>
      <w:tabs>
        <w:tab w:val="left" w:pos="397"/>
      </w:tabs>
    </w:pPr>
    <w:tblPr>
      <w:jc w:val="center"/>
      <w:tblBorders>
        <w:top w:val="single" w:sz="4" w:space="0" w:color="585858" w:themeColor="text2" w:themeShade="80"/>
        <w:left w:val="single" w:sz="4" w:space="0" w:color="585858" w:themeColor="text2" w:themeShade="80"/>
        <w:bottom w:val="single" w:sz="4" w:space="0" w:color="585858" w:themeColor="text2" w:themeShade="80"/>
        <w:right w:val="single" w:sz="4" w:space="0" w:color="585858" w:themeColor="text2" w:themeShade="80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78D1"/>
    <w:rPr>
      <w:color w:val="605E5C"/>
      <w:shd w:val="clear" w:color="auto" w:fill="E1DFDD"/>
    </w:rPr>
  </w:style>
  <w:style w:type="character" w:customStyle="1" w:styleId="JuParaChar">
    <w:name w:val="Ju_Para Char"/>
    <w:aliases w:val="_Para Char"/>
    <w:link w:val="JuPara"/>
    <w:uiPriority w:val="4"/>
    <w:rsid w:val="00547B2D"/>
    <w:rPr>
      <w:sz w:val="24"/>
      <w:szCs w:val="24"/>
      <w:lang w:val="bg-BG"/>
    </w:rPr>
  </w:style>
  <w:style w:type="table" w:styleId="GridTable1Light">
    <w:name w:val="Grid Table 1 Light"/>
    <w:basedOn w:val="TableNormal"/>
    <w:uiPriority w:val="46"/>
    <w:semiHidden/>
    <w:rsid w:val="008A78D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8A78D1"/>
    <w:tblPr>
      <w:tblStyleRowBandSize w:val="1"/>
      <w:tblStyleColBandSize w:val="1"/>
      <w:tblBorders>
        <w:top w:val="single" w:sz="4" w:space="0" w:color="7ECBFF" w:themeColor="accent1" w:themeTint="66"/>
        <w:left w:val="single" w:sz="4" w:space="0" w:color="7ECBFF" w:themeColor="accent1" w:themeTint="66"/>
        <w:bottom w:val="single" w:sz="4" w:space="0" w:color="7ECBFF" w:themeColor="accent1" w:themeTint="66"/>
        <w:right w:val="single" w:sz="4" w:space="0" w:color="7ECBFF" w:themeColor="accent1" w:themeTint="66"/>
        <w:insideH w:val="single" w:sz="4" w:space="0" w:color="7ECBFF" w:themeColor="accent1" w:themeTint="66"/>
        <w:insideV w:val="single" w:sz="4" w:space="0" w:color="7E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8A78D1"/>
    <w:tblPr>
      <w:tblStyleRowBandSize w:val="1"/>
      <w:tblStyleColBandSize w:val="1"/>
      <w:tblBorders>
        <w:top w:val="single" w:sz="4" w:space="0" w:color="FF7F7F" w:themeColor="accent2" w:themeTint="66"/>
        <w:left w:val="single" w:sz="4" w:space="0" w:color="FF7F7F" w:themeColor="accent2" w:themeTint="66"/>
        <w:bottom w:val="single" w:sz="4" w:space="0" w:color="FF7F7F" w:themeColor="accent2" w:themeTint="66"/>
        <w:right w:val="single" w:sz="4" w:space="0" w:color="FF7F7F" w:themeColor="accent2" w:themeTint="66"/>
        <w:insideH w:val="single" w:sz="4" w:space="0" w:color="FF7F7F" w:themeColor="accent2" w:themeTint="66"/>
        <w:insideV w:val="single" w:sz="4" w:space="0" w:color="FF7F7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8A78D1"/>
    <w:tblPr>
      <w:tblStyleRowBandSize w:val="1"/>
      <w:tblStyleColBandSize w:val="1"/>
      <w:tblBorders>
        <w:top w:val="single" w:sz="4" w:space="0" w:color="BCBCBC" w:themeColor="accent3" w:themeTint="66"/>
        <w:left w:val="single" w:sz="4" w:space="0" w:color="BCBCBC" w:themeColor="accent3" w:themeTint="66"/>
        <w:bottom w:val="single" w:sz="4" w:space="0" w:color="BCBCBC" w:themeColor="accent3" w:themeTint="66"/>
        <w:right w:val="single" w:sz="4" w:space="0" w:color="BCBCBC" w:themeColor="accent3" w:themeTint="66"/>
        <w:insideH w:val="single" w:sz="4" w:space="0" w:color="BCBCBC" w:themeColor="accent3" w:themeTint="66"/>
        <w:insideV w:val="single" w:sz="4" w:space="0" w:color="BCBC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B9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9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8A78D1"/>
    <w:tblPr>
      <w:tblStyleRowBandSize w:val="1"/>
      <w:tblStyleColBandSize w:val="1"/>
      <w:tblBorders>
        <w:top w:val="single" w:sz="4" w:space="0" w:color="D5D5D5" w:themeColor="accent4" w:themeTint="66"/>
        <w:left w:val="single" w:sz="4" w:space="0" w:color="D5D5D5" w:themeColor="accent4" w:themeTint="66"/>
        <w:bottom w:val="single" w:sz="4" w:space="0" w:color="D5D5D5" w:themeColor="accent4" w:themeTint="66"/>
        <w:right w:val="single" w:sz="4" w:space="0" w:color="D5D5D5" w:themeColor="accent4" w:themeTint="66"/>
        <w:insideH w:val="single" w:sz="4" w:space="0" w:color="D5D5D5" w:themeColor="accent4" w:themeTint="66"/>
        <w:insideV w:val="single" w:sz="4" w:space="0" w:color="D5D5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8A78D1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8A78D1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8A78D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8A78D1"/>
    <w:tblPr>
      <w:tblStyleRowBandSize w:val="1"/>
      <w:tblStyleColBandSize w:val="1"/>
      <w:tblBorders>
        <w:top w:val="single" w:sz="2" w:space="0" w:color="3DB2FF" w:themeColor="accent1" w:themeTint="99"/>
        <w:bottom w:val="single" w:sz="2" w:space="0" w:color="3DB2FF" w:themeColor="accent1" w:themeTint="99"/>
        <w:insideH w:val="single" w:sz="2" w:space="0" w:color="3DB2FF" w:themeColor="accent1" w:themeTint="99"/>
        <w:insideV w:val="single" w:sz="2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B2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8A78D1"/>
    <w:tblPr>
      <w:tblStyleRowBandSize w:val="1"/>
      <w:tblStyleColBandSize w:val="1"/>
      <w:tblBorders>
        <w:top w:val="single" w:sz="2" w:space="0" w:color="FF4040" w:themeColor="accent2" w:themeTint="99"/>
        <w:bottom w:val="single" w:sz="2" w:space="0" w:color="FF4040" w:themeColor="accent2" w:themeTint="99"/>
        <w:insideH w:val="single" w:sz="2" w:space="0" w:color="FF4040" w:themeColor="accent2" w:themeTint="99"/>
        <w:insideV w:val="single" w:sz="2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8A78D1"/>
    <w:tblPr>
      <w:tblStyleRowBandSize w:val="1"/>
      <w:tblStyleColBandSize w:val="1"/>
      <w:tblBorders>
        <w:top w:val="single" w:sz="2" w:space="0" w:color="9B9B9B" w:themeColor="accent3" w:themeTint="99"/>
        <w:bottom w:val="single" w:sz="2" w:space="0" w:color="9B9B9B" w:themeColor="accent3" w:themeTint="99"/>
        <w:insideH w:val="single" w:sz="2" w:space="0" w:color="9B9B9B" w:themeColor="accent3" w:themeTint="99"/>
        <w:insideV w:val="single" w:sz="2" w:space="0" w:color="9B9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9B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9B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8A78D1"/>
    <w:tblPr>
      <w:tblStyleRowBandSize w:val="1"/>
      <w:tblStyleColBandSize w:val="1"/>
      <w:tblBorders>
        <w:top w:val="single" w:sz="2" w:space="0" w:color="C0C0C0" w:themeColor="accent4" w:themeTint="99"/>
        <w:bottom w:val="single" w:sz="2" w:space="0" w:color="C0C0C0" w:themeColor="accent4" w:themeTint="99"/>
        <w:insideH w:val="single" w:sz="2" w:space="0" w:color="C0C0C0" w:themeColor="accent4" w:themeTint="99"/>
        <w:insideV w:val="single" w:sz="2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8A78D1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8A78D1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8A78D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8A78D1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8A78D1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8A78D1"/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  <w:insideV w:val="single" w:sz="4" w:space="0" w:color="9B9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  <w:tblStylePr w:type="neCell">
      <w:tblPr/>
      <w:tcPr>
        <w:tcBorders>
          <w:bottom w:val="single" w:sz="4" w:space="0" w:color="9B9B9B" w:themeColor="accent3" w:themeTint="99"/>
        </w:tcBorders>
      </w:tcPr>
    </w:tblStylePr>
    <w:tblStylePr w:type="nwCell">
      <w:tblPr/>
      <w:tcPr>
        <w:tcBorders>
          <w:bottom w:val="single" w:sz="4" w:space="0" w:color="9B9B9B" w:themeColor="accent3" w:themeTint="99"/>
        </w:tcBorders>
      </w:tcPr>
    </w:tblStylePr>
    <w:tblStylePr w:type="seCell">
      <w:tblPr/>
      <w:tcPr>
        <w:tcBorders>
          <w:top w:val="single" w:sz="4" w:space="0" w:color="9B9B9B" w:themeColor="accent3" w:themeTint="99"/>
        </w:tcBorders>
      </w:tcPr>
    </w:tblStylePr>
    <w:tblStylePr w:type="swCell">
      <w:tblPr/>
      <w:tcPr>
        <w:tcBorders>
          <w:top w:val="single" w:sz="4" w:space="0" w:color="9B9B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8A78D1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8A78D1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8A78D1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8A78D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8A78D1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8A78D1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8A78D1"/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  <w:insideV w:val="single" w:sz="4" w:space="0" w:color="9B9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</w:tcBorders>
        <w:shd w:val="clear" w:color="auto" w:fill="595959" w:themeFill="accent3"/>
      </w:tcPr>
    </w:tblStylePr>
    <w:tblStylePr w:type="lastRow">
      <w:rPr>
        <w:b/>
        <w:bCs/>
      </w:rPr>
      <w:tblPr/>
      <w:tcPr>
        <w:tcBorders>
          <w:top w:val="double" w:sz="4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8A78D1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8A78D1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8A78D1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8A78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8A78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B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BC" w:themeFill="accent1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7EC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8A78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0000" w:themeFill="accent2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7F7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8A78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59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59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59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5959" w:themeFill="accent3"/>
      </w:tcPr>
    </w:tblStylePr>
    <w:tblStylePr w:type="band1Vert">
      <w:tblPr/>
      <w:tcPr>
        <w:shd w:val="clear" w:color="auto" w:fill="BCBCBC" w:themeFill="accent3" w:themeFillTint="66"/>
      </w:tcPr>
    </w:tblStylePr>
    <w:tblStylePr w:type="band1Horz">
      <w:tblPr/>
      <w:tcPr>
        <w:shd w:val="clear" w:color="auto" w:fill="BCBC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8A78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4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D5D5D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8A78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8A78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8A78D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8A78D1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8A78D1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8A78D1"/>
    <w:rPr>
      <w:color w:val="424242" w:themeColor="accent3" w:themeShade="BF"/>
    </w:rPr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  <w:insideV w:val="single" w:sz="4" w:space="0" w:color="9B9B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B9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9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8A78D1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8A78D1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8A78D1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8A78D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8A78D1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8A78D1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8A78D1"/>
    <w:rPr>
      <w:color w:val="424242" w:themeColor="accent3" w:themeShade="BF"/>
    </w:rPr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  <w:insideV w:val="single" w:sz="4" w:space="0" w:color="9B9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  <w:tblStylePr w:type="neCell">
      <w:tblPr/>
      <w:tcPr>
        <w:tcBorders>
          <w:bottom w:val="single" w:sz="4" w:space="0" w:color="9B9B9B" w:themeColor="accent3" w:themeTint="99"/>
        </w:tcBorders>
      </w:tcPr>
    </w:tblStylePr>
    <w:tblStylePr w:type="nwCell">
      <w:tblPr/>
      <w:tcPr>
        <w:tcBorders>
          <w:bottom w:val="single" w:sz="4" w:space="0" w:color="9B9B9B" w:themeColor="accent3" w:themeTint="99"/>
        </w:tcBorders>
      </w:tcPr>
    </w:tblStylePr>
    <w:tblStylePr w:type="seCell">
      <w:tblPr/>
      <w:tcPr>
        <w:tcBorders>
          <w:top w:val="single" w:sz="4" w:space="0" w:color="9B9B9B" w:themeColor="accent3" w:themeTint="99"/>
        </w:tcBorders>
      </w:tcPr>
    </w:tblStylePr>
    <w:tblStylePr w:type="swCell">
      <w:tblPr/>
      <w:tcPr>
        <w:tcBorders>
          <w:top w:val="single" w:sz="4" w:space="0" w:color="9B9B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8A78D1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8A78D1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8A78D1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8A78D1"/>
    <w:rPr>
      <w:color w:val="2B579A"/>
      <w:shd w:val="clear" w:color="auto" w:fill="E1DFDD"/>
    </w:rPr>
  </w:style>
  <w:style w:type="table" w:styleId="ListTable1Light">
    <w:name w:val="List Table 1 Light"/>
    <w:basedOn w:val="TableNormal"/>
    <w:uiPriority w:val="46"/>
    <w:semiHidden/>
    <w:rsid w:val="008A78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8A78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8A78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8A78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9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9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8A78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8A78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8A78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8A78D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8A78D1"/>
    <w:tblPr>
      <w:tblStyleRowBandSize w:val="1"/>
      <w:tblStyleColBandSize w:val="1"/>
      <w:tblBorders>
        <w:top w:val="single" w:sz="4" w:space="0" w:color="3DB2FF" w:themeColor="accent1" w:themeTint="99"/>
        <w:bottom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8A78D1"/>
    <w:tblPr>
      <w:tblStyleRowBandSize w:val="1"/>
      <w:tblStyleColBandSize w:val="1"/>
      <w:tblBorders>
        <w:top w:val="single" w:sz="4" w:space="0" w:color="FF4040" w:themeColor="accent2" w:themeTint="99"/>
        <w:bottom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8A78D1"/>
    <w:tblPr>
      <w:tblStyleRowBandSize w:val="1"/>
      <w:tblStyleColBandSize w:val="1"/>
      <w:tblBorders>
        <w:top w:val="single" w:sz="4" w:space="0" w:color="9B9B9B" w:themeColor="accent3" w:themeTint="99"/>
        <w:bottom w:val="single" w:sz="4" w:space="0" w:color="9B9B9B" w:themeColor="accent3" w:themeTint="99"/>
        <w:insideH w:val="single" w:sz="4" w:space="0" w:color="9B9B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8A78D1"/>
    <w:tblPr>
      <w:tblStyleRowBandSize w:val="1"/>
      <w:tblStyleColBandSize w:val="1"/>
      <w:tblBorders>
        <w:top w:val="single" w:sz="4" w:space="0" w:color="C0C0C0" w:themeColor="accent4" w:themeTint="99"/>
        <w:bottom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8A78D1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8A78D1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8A78D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8A78D1"/>
    <w:tblPr>
      <w:tblStyleRowBandSize w:val="1"/>
      <w:tblStyleColBandSize w:val="1"/>
      <w:tblBorders>
        <w:top w:val="single" w:sz="4" w:space="0" w:color="0072BC" w:themeColor="accent1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BC" w:themeColor="accent1"/>
          <w:right w:val="single" w:sz="4" w:space="0" w:color="0072BC" w:themeColor="accent1"/>
        </w:tcBorders>
      </w:tcPr>
    </w:tblStylePr>
    <w:tblStylePr w:type="band1Horz">
      <w:tblPr/>
      <w:tcPr>
        <w:tcBorders>
          <w:top w:val="single" w:sz="4" w:space="0" w:color="0072BC" w:themeColor="accent1"/>
          <w:bottom w:val="single" w:sz="4" w:space="0" w:color="0072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BC" w:themeColor="accent1"/>
          <w:left w:val="nil"/>
        </w:tcBorders>
      </w:tcPr>
    </w:tblStylePr>
    <w:tblStylePr w:type="swCell">
      <w:tblPr/>
      <w:tcPr>
        <w:tcBorders>
          <w:top w:val="double" w:sz="4" w:space="0" w:color="0072B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8A78D1"/>
    <w:tblPr>
      <w:tblStyleRowBandSize w:val="1"/>
      <w:tblStyleColBandSize w:val="1"/>
      <w:tblBorders>
        <w:top w:val="single" w:sz="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0000" w:themeColor="accent2"/>
          <w:right w:val="single" w:sz="4" w:space="0" w:color="C00000" w:themeColor="accent2"/>
        </w:tcBorders>
      </w:tcPr>
    </w:tblStylePr>
    <w:tblStylePr w:type="band1Horz">
      <w:tblPr/>
      <w:tcPr>
        <w:tcBorders>
          <w:top w:val="single" w:sz="4" w:space="0" w:color="C00000" w:themeColor="accent2"/>
          <w:bottom w:val="single" w:sz="4" w:space="0" w:color="C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0000" w:themeColor="accent2"/>
          <w:left w:val="nil"/>
        </w:tcBorders>
      </w:tcPr>
    </w:tblStylePr>
    <w:tblStylePr w:type="swCell">
      <w:tblPr/>
      <w:tcPr>
        <w:tcBorders>
          <w:top w:val="double" w:sz="4" w:space="0" w:color="C0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8A78D1"/>
    <w:tblPr>
      <w:tblStyleRowBandSize w:val="1"/>
      <w:tblStyleColBandSize w:val="1"/>
      <w:tblBorders>
        <w:top w:val="single" w:sz="4" w:space="0" w:color="595959" w:themeColor="accent3"/>
        <w:left w:val="single" w:sz="4" w:space="0" w:color="595959" w:themeColor="accent3"/>
        <w:bottom w:val="single" w:sz="4" w:space="0" w:color="595959" w:themeColor="accent3"/>
        <w:right w:val="single" w:sz="4" w:space="0" w:color="5959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5959" w:themeFill="accent3"/>
      </w:tcPr>
    </w:tblStylePr>
    <w:tblStylePr w:type="lastRow">
      <w:rPr>
        <w:b/>
        <w:bCs/>
      </w:rPr>
      <w:tblPr/>
      <w:tcPr>
        <w:tcBorders>
          <w:top w:val="double" w:sz="4" w:space="0" w:color="5959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5959" w:themeColor="accent3"/>
          <w:right w:val="single" w:sz="4" w:space="0" w:color="595959" w:themeColor="accent3"/>
        </w:tcBorders>
      </w:tcPr>
    </w:tblStylePr>
    <w:tblStylePr w:type="band1Horz">
      <w:tblPr/>
      <w:tcPr>
        <w:tcBorders>
          <w:top w:val="single" w:sz="4" w:space="0" w:color="595959" w:themeColor="accent3"/>
          <w:bottom w:val="single" w:sz="4" w:space="0" w:color="5959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5959" w:themeColor="accent3"/>
          <w:left w:val="nil"/>
        </w:tcBorders>
      </w:tcPr>
    </w:tblStylePr>
    <w:tblStylePr w:type="swCell">
      <w:tblPr/>
      <w:tcPr>
        <w:tcBorders>
          <w:top w:val="double" w:sz="4" w:space="0" w:color="5959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8A78D1"/>
    <w:tblPr>
      <w:tblStyleRowBandSize w:val="1"/>
      <w:tblStyleColBandSize w:val="1"/>
      <w:tblBorders>
        <w:top w:val="single" w:sz="4" w:space="0" w:color="969696" w:themeColor="accent4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4"/>
          <w:right w:val="single" w:sz="4" w:space="0" w:color="969696" w:themeColor="accent4"/>
        </w:tcBorders>
      </w:tcPr>
    </w:tblStylePr>
    <w:tblStylePr w:type="band1Horz">
      <w:tblPr/>
      <w:tcPr>
        <w:tcBorders>
          <w:top w:val="single" w:sz="4" w:space="0" w:color="969696" w:themeColor="accent4"/>
          <w:bottom w:val="single" w:sz="4" w:space="0" w:color="9696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4"/>
          <w:left w:val="nil"/>
        </w:tcBorders>
      </w:tcPr>
    </w:tblStylePr>
    <w:tblStylePr w:type="swCell">
      <w:tblPr/>
      <w:tcPr>
        <w:tcBorders>
          <w:top w:val="double" w:sz="4" w:space="0" w:color="96969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8A78D1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8A78D1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8A78D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8A78D1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8A78D1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8A78D1"/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</w:tcBorders>
        <w:shd w:val="clear" w:color="auto" w:fill="595959" w:themeFill="accent3"/>
      </w:tcPr>
    </w:tblStylePr>
    <w:tblStylePr w:type="lastRow">
      <w:rPr>
        <w:b/>
        <w:bCs/>
      </w:rPr>
      <w:tblPr/>
      <w:tcPr>
        <w:tcBorders>
          <w:top w:val="double" w:sz="4" w:space="0" w:color="9B9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8A78D1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8A78D1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8A78D1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8A78D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8A78D1"/>
    <w:rPr>
      <w:color w:val="FFFFFF" w:themeColor="background1"/>
    </w:rPr>
    <w:tblPr>
      <w:tblStyleRowBandSize w:val="1"/>
      <w:tblStyleColBandSize w:val="1"/>
      <w:tblBorders>
        <w:top w:val="single" w:sz="24" w:space="0" w:color="0072BC" w:themeColor="accent1"/>
        <w:left w:val="single" w:sz="24" w:space="0" w:color="0072BC" w:themeColor="accent1"/>
        <w:bottom w:val="single" w:sz="24" w:space="0" w:color="0072BC" w:themeColor="accent1"/>
        <w:right w:val="single" w:sz="24" w:space="0" w:color="0072BC" w:themeColor="accent1"/>
      </w:tblBorders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8A78D1"/>
    <w:rPr>
      <w:color w:val="FFFFFF" w:themeColor="background1"/>
    </w:rPr>
    <w:tblPr>
      <w:tblStyleRowBandSize w:val="1"/>
      <w:tblStyleColBandSize w:val="1"/>
      <w:tblBorders>
        <w:top w:val="single" w:sz="24" w:space="0" w:color="C00000" w:themeColor="accent2"/>
        <w:left w:val="single" w:sz="24" w:space="0" w:color="C00000" w:themeColor="accent2"/>
        <w:bottom w:val="single" w:sz="24" w:space="0" w:color="C00000" w:themeColor="accent2"/>
        <w:right w:val="single" w:sz="24" w:space="0" w:color="C00000" w:themeColor="accent2"/>
      </w:tblBorders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8A78D1"/>
    <w:rPr>
      <w:color w:val="FFFFFF" w:themeColor="background1"/>
    </w:rPr>
    <w:tblPr>
      <w:tblStyleRowBandSize w:val="1"/>
      <w:tblStyleColBandSize w:val="1"/>
      <w:tblBorders>
        <w:top w:val="single" w:sz="24" w:space="0" w:color="595959" w:themeColor="accent3"/>
        <w:left w:val="single" w:sz="24" w:space="0" w:color="595959" w:themeColor="accent3"/>
        <w:bottom w:val="single" w:sz="24" w:space="0" w:color="595959" w:themeColor="accent3"/>
        <w:right w:val="single" w:sz="24" w:space="0" w:color="595959" w:themeColor="accent3"/>
      </w:tblBorders>
    </w:tblPr>
    <w:tcPr>
      <w:shd w:val="clear" w:color="auto" w:fill="5959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8A78D1"/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4"/>
        <w:left w:val="single" w:sz="24" w:space="0" w:color="969696" w:themeColor="accent4"/>
        <w:bottom w:val="single" w:sz="24" w:space="0" w:color="969696" w:themeColor="accent4"/>
        <w:right w:val="single" w:sz="24" w:space="0" w:color="969696" w:themeColor="accent4"/>
      </w:tblBorders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8A78D1"/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8A78D1"/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8A78D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8A78D1"/>
    <w:rPr>
      <w:color w:val="00548C" w:themeColor="accent1" w:themeShade="BF"/>
    </w:rPr>
    <w:tblPr>
      <w:tblStyleRowBandSize w:val="1"/>
      <w:tblStyleColBandSize w:val="1"/>
      <w:tblBorders>
        <w:top w:val="single" w:sz="4" w:space="0" w:color="0072BC" w:themeColor="accent1"/>
        <w:bottom w:val="single" w:sz="4" w:space="0" w:color="0072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2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8A78D1"/>
    <w:rPr>
      <w:color w:val="8F0000" w:themeColor="accent2" w:themeShade="BF"/>
    </w:rPr>
    <w:tblPr>
      <w:tblStyleRowBandSize w:val="1"/>
      <w:tblStyleColBandSize w:val="1"/>
      <w:tblBorders>
        <w:top w:val="single" w:sz="4" w:space="0" w:color="C00000" w:themeColor="accent2"/>
        <w:bottom w:val="single" w:sz="4" w:space="0" w:color="C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8A78D1"/>
    <w:rPr>
      <w:color w:val="424242" w:themeColor="accent3" w:themeShade="BF"/>
    </w:rPr>
    <w:tblPr>
      <w:tblStyleRowBandSize w:val="1"/>
      <w:tblStyleColBandSize w:val="1"/>
      <w:tblBorders>
        <w:top w:val="single" w:sz="4" w:space="0" w:color="595959" w:themeColor="accent3"/>
        <w:bottom w:val="single" w:sz="4" w:space="0" w:color="5959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959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8A78D1"/>
    <w:rPr>
      <w:color w:val="707070" w:themeColor="accent4" w:themeShade="BF"/>
    </w:rPr>
    <w:tblPr>
      <w:tblStyleRowBandSize w:val="1"/>
      <w:tblStyleColBandSize w:val="1"/>
      <w:tblBorders>
        <w:top w:val="single" w:sz="4" w:space="0" w:color="969696" w:themeColor="accent4"/>
        <w:bottom w:val="single" w:sz="4" w:space="0" w:color="9696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8A78D1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8A78D1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8A78D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8A78D1"/>
    <w:rPr>
      <w:color w:val="0054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B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B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B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B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8A78D1"/>
    <w:rPr>
      <w:color w:val="8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8A78D1"/>
    <w:rPr>
      <w:color w:val="42424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59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59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59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59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8A78D1"/>
    <w:rPr>
      <w:color w:val="7070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8A78D1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8A78D1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8A78D1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semiHidden/>
    <w:rsid w:val="008A78D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8A78D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8A78D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8A78D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8A78D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">
    <w:name w:val="Smart Hyperlink"/>
    <w:basedOn w:val="DefaultParagraphFont"/>
    <w:uiPriority w:val="99"/>
    <w:semiHidden/>
    <w:unhideWhenUsed/>
    <w:rsid w:val="008A78D1"/>
    <w:rPr>
      <w:u w:val="dotted"/>
    </w:rPr>
  </w:style>
  <w:style w:type="character" w:customStyle="1" w:styleId="SmartLink">
    <w:name w:val="Smart Link"/>
    <w:basedOn w:val="DefaultParagraphFont"/>
    <w:uiPriority w:val="99"/>
    <w:semiHidden/>
    <w:unhideWhenUsed/>
    <w:rsid w:val="008A78D1"/>
    <w:rPr>
      <w:color w:val="0000FF"/>
      <w:u w:val="single"/>
      <w:shd w:val="clear" w:color="auto" w:fill="F3F2F1"/>
    </w:rPr>
  </w:style>
  <w:style w:type="table" w:styleId="TableGridLight">
    <w:name w:val="Grid Table Light"/>
    <w:basedOn w:val="TableNormal"/>
    <w:uiPriority w:val="40"/>
    <w:semiHidden/>
    <w:rsid w:val="008A78D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_New">
      <a:dk1>
        <a:sysClr val="windowText" lastClr="000000"/>
      </a:dk1>
      <a:lt1>
        <a:srgbClr val="FFFFFF"/>
      </a:lt1>
      <a:dk2>
        <a:srgbClr val="B0B0B0"/>
      </a:dk2>
      <a:lt2>
        <a:srgbClr val="F8F8F8"/>
      </a:lt2>
      <a:accent1>
        <a:srgbClr val="0072BC"/>
      </a:accent1>
      <a:accent2>
        <a:srgbClr val="C00000"/>
      </a:accent2>
      <a:accent3>
        <a:srgbClr val="595959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133CF-ED7D-4F76-9F76-34920883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1728</Words>
  <Characters>9855</Characters>
  <Application>Microsoft Office Word</Application>
  <DocSecurity>0</DocSecurity>
  <Lines>82</Lines>
  <Paragraphs>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Заглавия</vt:lpstr>
      </vt:variant>
      <vt:variant>
        <vt:i4>5</vt:i4>
      </vt:variant>
    </vt:vector>
  </HeadingPairs>
  <TitlesOfParts>
    <vt:vector size="7" baseType="lpstr">
      <vt:lpstr>ECHR</vt:lpstr>
      <vt:lpstr>ECHR</vt:lpstr>
      <vt:lpstr>ТРЕТО ОТДЕЛЕНИЕ</vt:lpstr>
      <vt:lpstr>ПРЕДМЕТ НА ДЕЛОТО</vt:lpstr>
      <vt:lpstr>ПРЕЦЕНКАТА НА СЪДА</vt:lpstr>
      <vt:lpstr>ПРИЛОЖЕНИЕ НА ЧЛ. 41 ОТ КОНВЕНЦИЯТА</vt:lpstr>
      <vt:lpstr>ПО ТЕЗИ СЪОБРАЖЕНИЯ, СЪДЪТ ЕДИНОДУШНО</vt:lpstr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JUD</dc:subject>
  <dc:creator/>
  <cp:lastModifiedBy/>
  <cp:revision>1</cp:revision>
  <dcterms:created xsi:type="dcterms:W3CDTF">2024-11-12T09:43:00Z</dcterms:created>
  <dcterms:modified xsi:type="dcterms:W3CDTF">2024-11-14T14:04:00Z</dcterms:modified>
  <cp:category>ECHR Template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SEID">
    <vt:lpwstr>1402287</vt:lpwstr>
  </property>
  <property fmtid="{D5CDD505-2E9C-101B-9397-08002B2CF9AE}" pid="3" name="cstLanguage">
    <vt:i4>2057</vt:i4>
  </property>
  <property fmtid="{D5CDD505-2E9C-101B-9397-08002B2CF9AE}" pid="4" name="RegisteredNo">
    <vt:lpwstr>44251/18</vt:lpwstr>
  </property>
  <property fmtid="{D5CDD505-2E9C-101B-9397-08002B2CF9AE}" pid="5" name="_MarkAsFinal">
    <vt:bool>true</vt:bool>
  </property>
</Properties>
</file>