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9D52" w14:textId="61AB1D6F" w:rsidR="00D36951" w:rsidRPr="001D11CD" w:rsidRDefault="00607AD8" w:rsidP="00607AD8">
      <w:pPr>
        <w:jc w:val="center"/>
        <w:rPr>
          <w:rFonts w:ascii="Times New Roman" w:hAnsi="Times New Roman" w:cs="Times New Roman"/>
          <w:sz w:val="28"/>
          <w:lang w:val="bg-BG"/>
        </w:rPr>
      </w:pPr>
      <w:bookmarkStart w:id="0" w:name="_GoBack"/>
      <w:bookmarkEnd w:id="0"/>
      <w:r w:rsidRPr="001D11CD">
        <w:rPr>
          <w:rFonts w:ascii="Times New Roman" w:hAnsi="Times New Roman" w:cs="Times New Roman"/>
          <w:sz w:val="28"/>
          <w:lang w:val="bg-BG"/>
        </w:rPr>
        <w:t>ЕВРОПЕЙСКИ СЪД ПО ПРАВАТА НА ЧОВЕКА</w:t>
      </w:r>
    </w:p>
    <w:p w14:paraId="4CFB0A6B" w14:textId="2A8AADBF" w:rsidR="007A4070" w:rsidRPr="001D11CD" w:rsidRDefault="007A4070" w:rsidP="008F08A2">
      <w:pPr>
        <w:rPr>
          <w:lang w:val="bg-BG"/>
        </w:rPr>
      </w:pPr>
    </w:p>
    <w:p w14:paraId="25384F75" w14:textId="77777777" w:rsidR="00C02B2D" w:rsidRPr="001D11CD" w:rsidRDefault="00C02B2D" w:rsidP="008F08A2">
      <w:pPr>
        <w:rPr>
          <w:lang w:val="bg-BG"/>
        </w:rPr>
      </w:pPr>
    </w:p>
    <w:p w14:paraId="55CB793F" w14:textId="17757181" w:rsidR="007A4070" w:rsidRPr="001D11CD" w:rsidRDefault="000B760F" w:rsidP="008F08A2">
      <w:pPr>
        <w:pStyle w:val="DecHTitle"/>
        <w:rPr>
          <w:lang w:val="bg-BG"/>
        </w:rPr>
      </w:pPr>
      <w:r w:rsidRPr="001D11CD">
        <w:rPr>
          <w:lang w:val="bg-BG"/>
        </w:rPr>
        <w:t>ТРЕТО ОТДЕЛЕНИЕ</w:t>
      </w:r>
    </w:p>
    <w:p w14:paraId="79F73F93" w14:textId="4F6323AF" w:rsidR="00ED397C" w:rsidRPr="001D11CD" w:rsidRDefault="000B760F" w:rsidP="00ED397C">
      <w:pPr>
        <w:pStyle w:val="JuTitle"/>
        <w:rPr>
          <w:lang w:val="bg-BG"/>
        </w:rPr>
      </w:pPr>
      <w:r w:rsidRPr="001D11CD">
        <w:rPr>
          <w:lang w:val="bg-BG"/>
        </w:rPr>
        <w:t>ДЕЛО</w:t>
      </w:r>
      <w:r w:rsidR="007A4070" w:rsidRPr="001D11CD">
        <w:rPr>
          <w:lang w:val="bg-BG"/>
        </w:rPr>
        <w:t xml:space="preserve"> </w:t>
      </w:r>
    </w:p>
    <w:p w14:paraId="42F5DBE2" w14:textId="73536BCE" w:rsidR="000B760F" w:rsidRPr="001D11CD" w:rsidRDefault="00ED397C" w:rsidP="000B760F">
      <w:pPr>
        <w:pStyle w:val="JuTitle"/>
        <w:rPr>
          <w:lang w:val="bg-BG"/>
        </w:rPr>
      </w:pPr>
      <w:r w:rsidRPr="001D11CD">
        <w:rPr>
          <w:lang w:val="bg-BG"/>
        </w:rPr>
        <w:t>МЕСТАН</w:t>
      </w:r>
      <w:r w:rsidR="000B760F" w:rsidRPr="001D11CD">
        <w:rPr>
          <w:lang w:val="bg-BG"/>
        </w:rPr>
        <w:t xml:space="preserve"> </w:t>
      </w:r>
      <w:r w:rsidRPr="001D11CD">
        <w:rPr>
          <w:lang w:val="bg-BG"/>
        </w:rPr>
        <w:t>СРЕЩУ</w:t>
      </w:r>
      <w:r w:rsidR="000B760F" w:rsidRPr="001D11CD">
        <w:rPr>
          <w:lang w:val="bg-BG"/>
        </w:rPr>
        <w:t xml:space="preserve"> БЪЛГАРИЯ</w:t>
      </w:r>
    </w:p>
    <w:p w14:paraId="6D0141D8" w14:textId="0788872A" w:rsidR="000B760F" w:rsidRPr="001D11CD" w:rsidRDefault="000B760F" w:rsidP="000B760F">
      <w:pPr>
        <w:pStyle w:val="ECHRCoverTitle4"/>
        <w:rPr>
          <w:lang w:val="bg-BG"/>
        </w:rPr>
      </w:pPr>
      <w:r w:rsidRPr="001D11CD">
        <w:rPr>
          <w:lang w:val="bg-BG"/>
        </w:rPr>
        <w:t>(</w:t>
      </w:r>
      <w:r w:rsidR="00607AD8" w:rsidRPr="001D11CD">
        <w:rPr>
          <w:lang w:val="bg-BG"/>
        </w:rPr>
        <w:t>Жалба</w:t>
      </w:r>
      <w:r w:rsidRPr="001D11CD">
        <w:rPr>
          <w:lang w:val="bg-BG"/>
        </w:rPr>
        <w:t xml:space="preserve"> </w:t>
      </w:r>
      <w:r w:rsidR="000F0360" w:rsidRPr="001D11CD">
        <w:rPr>
          <w:lang w:val="bg-BG"/>
        </w:rPr>
        <w:t>№</w:t>
      </w:r>
      <w:r w:rsidRPr="001D11CD">
        <w:rPr>
          <w:lang w:val="bg-BG"/>
        </w:rPr>
        <w:t xml:space="preserve"> 24108/15)</w:t>
      </w:r>
    </w:p>
    <w:p w14:paraId="6447E604" w14:textId="0FDA5D11" w:rsidR="000B760F" w:rsidRPr="001D11CD" w:rsidRDefault="000B760F" w:rsidP="000B760F">
      <w:pPr>
        <w:pStyle w:val="DecHCase"/>
        <w:jc w:val="left"/>
        <w:rPr>
          <w:lang w:val="bg-BG"/>
        </w:rPr>
      </w:pPr>
    </w:p>
    <w:p w14:paraId="35500CAF" w14:textId="704926D7" w:rsidR="000B760F" w:rsidRPr="001D11CD" w:rsidRDefault="000F0360" w:rsidP="00205A01">
      <w:pPr>
        <w:pStyle w:val="JuHeader"/>
        <w:pBdr>
          <w:top w:val="single" w:sz="4" w:space="1" w:color="auto"/>
          <w:left w:val="single" w:sz="4" w:space="4" w:color="auto"/>
          <w:bottom w:val="single" w:sz="4" w:space="1" w:color="auto"/>
          <w:right w:val="single" w:sz="4" w:space="4" w:color="auto"/>
        </w:pBdr>
        <w:jc w:val="both"/>
        <w:rPr>
          <w:rStyle w:val="Bold"/>
          <w:b w:val="0"/>
          <w:bCs/>
          <w:sz w:val="24"/>
          <w:lang w:val="bg-BG"/>
        </w:rPr>
      </w:pPr>
      <w:r w:rsidRPr="001D11CD">
        <w:rPr>
          <w:sz w:val="24"/>
          <w:lang w:val="bg-BG"/>
        </w:rPr>
        <w:t>Чл.</w:t>
      </w:r>
      <w:r w:rsidR="000B760F" w:rsidRPr="001D11CD">
        <w:rPr>
          <w:sz w:val="24"/>
          <w:lang w:val="bg-BG"/>
        </w:rPr>
        <w:t xml:space="preserve"> 10 • </w:t>
      </w:r>
      <w:r w:rsidRPr="001D11CD">
        <w:rPr>
          <w:sz w:val="24"/>
          <w:lang w:val="bg-BG"/>
        </w:rPr>
        <w:t>Свобода на изразяване на мнение</w:t>
      </w:r>
      <w:r w:rsidR="000B760F" w:rsidRPr="001D11CD">
        <w:rPr>
          <w:sz w:val="24"/>
          <w:lang w:val="bg-BG"/>
        </w:rPr>
        <w:t xml:space="preserve"> • </w:t>
      </w:r>
      <w:r w:rsidRPr="001D11CD">
        <w:rPr>
          <w:sz w:val="24"/>
          <w:lang w:val="bg-BG"/>
        </w:rPr>
        <w:t xml:space="preserve">Свобода на </w:t>
      </w:r>
      <w:r w:rsidR="007C0A9B" w:rsidRPr="001D11CD">
        <w:rPr>
          <w:sz w:val="24"/>
          <w:lang w:val="bg-BG"/>
        </w:rPr>
        <w:t>разпространяване</w:t>
      </w:r>
      <w:r w:rsidRPr="001D11CD">
        <w:rPr>
          <w:sz w:val="24"/>
          <w:lang w:val="bg-BG"/>
        </w:rPr>
        <w:t xml:space="preserve"> и получаване на информация • Административна глоба поради абсолютната законова забрана за политик да използва неофициален език по време на предизборната си кампания • Национални съдилища</w:t>
      </w:r>
      <w:r w:rsidR="00EC635D" w:rsidRPr="001D11CD">
        <w:rPr>
          <w:sz w:val="24"/>
          <w:lang w:val="bg-BG"/>
        </w:rPr>
        <w:t>,</w:t>
      </w:r>
      <w:r w:rsidRPr="001D11CD">
        <w:rPr>
          <w:sz w:val="24"/>
          <w:lang w:val="bg-BG"/>
        </w:rPr>
        <w:t xml:space="preserve"> лишени от правомощието си да упражняват адекватен съдебен контрол • Чл. 10</w:t>
      </w:r>
      <w:r w:rsidR="00EB4FD3" w:rsidRPr="001D11CD">
        <w:rPr>
          <w:sz w:val="24"/>
          <w:lang w:val="bg-BG"/>
        </w:rPr>
        <w:t xml:space="preserve"> във връзка с</w:t>
      </w:r>
      <w:r w:rsidRPr="001D11CD">
        <w:rPr>
          <w:sz w:val="24"/>
          <w:lang w:val="bg-BG"/>
        </w:rPr>
        <w:t xml:space="preserve"> чл. 1 P3 • </w:t>
      </w:r>
      <w:r w:rsidR="00EB4FD3" w:rsidRPr="001D11CD">
        <w:rPr>
          <w:sz w:val="24"/>
          <w:lang w:val="bg-BG"/>
        </w:rPr>
        <w:t xml:space="preserve">Значение </w:t>
      </w:r>
      <w:r w:rsidR="006E1414" w:rsidRPr="001D11CD">
        <w:rPr>
          <w:sz w:val="24"/>
          <w:lang w:val="bg-BG"/>
        </w:rPr>
        <w:t>на г</w:t>
      </w:r>
      <w:r w:rsidRPr="001D11CD">
        <w:rPr>
          <w:sz w:val="24"/>
          <w:lang w:val="bg-BG"/>
        </w:rPr>
        <w:t>арантира</w:t>
      </w:r>
      <w:r w:rsidR="006E1414" w:rsidRPr="001D11CD">
        <w:rPr>
          <w:sz w:val="24"/>
          <w:lang w:val="bg-BG"/>
        </w:rPr>
        <w:t>нето</w:t>
      </w:r>
      <w:r w:rsidRPr="001D11CD">
        <w:rPr>
          <w:sz w:val="24"/>
          <w:lang w:val="bg-BG"/>
        </w:rPr>
        <w:t xml:space="preserve"> </w:t>
      </w:r>
      <w:r w:rsidR="00E164AE" w:rsidRPr="001D11CD">
        <w:rPr>
          <w:sz w:val="24"/>
          <w:lang w:val="bg-BG"/>
        </w:rPr>
        <w:t xml:space="preserve">на правото </w:t>
      </w:r>
      <w:r w:rsidRPr="001D11CD">
        <w:rPr>
          <w:sz w:val="24"/>
          <w:lang w:val="bg-BG"/>
        </w:rPr>
        <w:t xml:space="preserve">на кандидатите от малцинствените групи да използват майчиния си език в предизборни кампании, за да се </w:t>
      </w:r>
      <w:r w:rsidR="006E1414" w:rsidRPr="001D11CD">
        <w:rPr>
          <w:sz w:val="24"/>
          <w:lang w:val="bg-BG"/>
        </w:rPr>
        <w:t>осигури</w:t>
      </w:r>
      <w:r w:rsidRPr="001D11CD">
        <w:rPr>
          <w:sz w:val="24"/>
          <w:lang w:val="bg-BG"/>
        </w:rPr>
        <w:t xml:space="preserve"> на тези малцинства равен достъп до избори </w:t>
      </w:r>
      <w:r w:rsidR="00D25B7D">
        <w:rPr>
          <w:sz w:val="24"/>
          <w:lang w:val="bg-BG"/>
        </w:rPr>
        <w:t>с</w:t>
      </w:r>
      <w:r w:rsidR="00D25B7D" w:rsidRPr="001D11CD">
        <w:rPr>
          <w:sz w:val="24"/>
          <w:lang w:val="bg-BG"/>
        </w:rPr>
        <w:t xml:space="preserve"> </w:t>
      </w:r>
      <w:r w:rsidR="00385B28" w:rsidRPr="001D11CD">
        <w:rPr>
          <w:sz w:val="24"/>
          <w:lang w:val="bg-BG"/>
        </w:rPr>
        <w:t xml:space="preserve">този на </w:t>
      </w:r>
      <w:r w:rsidRPr="001D11CD">
        <w:rPr>
          <w:sz w:val="24"/>
          <w:lang w:val="bg-BG"/>
        </w:rPr>
        <w:t xml:space="preserve">останалите граждани • Значение на плурализма, толерантността и защитата на малцинствата в едно демократично общество • Особено широка свобода на преценка в езиковите политики и </w:t>
      </w:r>
      <w:r w:rsidR="00835CBA" w:rsidRPr="001D11CD">
        <w:rPr>
          <w:sz w:val="24"/>
          <w:lang w:val="bg-BG"/>
        </w:rPr>
        <w:t>тясна по отношение на</w:t>
      </w:r>
      <w:r w:rsidRPr="001D11CD">
        <w:rPr>
          <w:sz w:val="24"/>
          <w:lang w:val="bg-BG"/>
        </w:rPr>
        <w:t xml:space="preserve"> политическия дискурс и изборите • Непропорционална забрана</w:t>
      </w:r>
    </w:p>
    <w:p w14:paraId="5B035842" w14:textId="77777777" w:rsidR="000B760F" w:rsidRPr="001D11CD" w:rsidRDefault="000B760F" w:rsidP="000B760F">
      <w:pPr>
        <w:pStyle w:val="DecHCase"/>
        <w:rPr>
          <w:lang w:val="bg-BG"/>
        </w:rPr>
      </w:pPr>
    </w:p>
    <w:p w14:paraId="2A5DCF25" w14:textId="50CE0B27" w:rsidR="000B760F" w:rsidRPr="001D11CD" w:rsidRDefault="00607AD8" w:rsidP="000B760F">
      <w:pPr>
        <w:pStyle w:val="DecHCase"/>
        <w:rPr>
          <w:lang w:val="bg-BG"/>
        </w:rPr>
      </w:pPr>
      <w:r w:rsidRPr="001D11CD">
        <w:rPr>
          <w:lang w:val="bg-BG"/>
        </w:rPr>
        <w:t>РЕШЕНИЕ</w:t>
      </w:r>
    </w:p>
    <w:p w14:paraId="6BE078E2" w14:textId="64036F1F" w:rsidR="000B760F" w:rsidRPr="001D11CD" w:rsidRDefault="00607AD8" w:rsidP="000B760F">
      <w:pPr>
        <w:pStyle w:val="DecHCase"/>
        <w:rPr>
          <w:lang w:val="bg-BG"/>
        </w:rPr>
      </w:pPr>
      <w:r w:rsidRPr="001D11CD">
        <w:rPr>
          <w:lang w:val="bg-BG"/>
        </w:rPr>
        <w:t>СТРАСБУРГ</w:t>
      </w:r>
    </w:p>
    <w:p w14:paraId="1D8A6A05" w14:textId="50C404AE" w:rsidR="000B760F" w:rsidRPr="001D11CD" w:rsidRDefault="000B760F" w:rsidP="000B760F">
      <w:pPr>
        <w:pStyle w:val="DecHCase"/>
        <w:rPr>
          <w:lang w:val="bg-BG"/>
        </w:rPr>
      </w:pPr>
      <w:r w:rsidRPr="001D11CD">
        <w:rPr>
          <w:lang w:val="bg-BG"/>
        </w:rPr>
        <w:t xml:space="preserve">2 </w:t>
      </w:r>
      <w:r w:rsidR="00835CBA" w:rsidRPr="001D11CD">
        <w:rPr>
          <w:lang w:val="bg-BG"/>
        </w:rPr>
        <w:t>май</w:t>
      </w:r>
      <w:r w:rsidRPr="001D11CD">
        <w:rPr>
          <w:lang w:val="bg-BG"/>
        </w:rPr>
        <w:t xml:space="preserve"> 2023</w:t>
      </w:r>
      <w:r w:rsidR="002050D2" w:rsidRPr="001D11CD">
        <w:rPr>
          <w:lang w:val="bg-BG"/>
        </w:rPr>
        <w:t> г.</w:t>
      </w:r>
    </w:p>
    <w:p w14:paraId="6211F54A" w14:textId="77777777" w:rsidR="000B760F" w:rsidRPr="001D11CD" w:rsidRDefault="000B760F" w:rsidP="000B760F">
      <w:pPr>
        <w:pStyle w:val="DecHCase"/>
        <w:rPr>
          <w:lang w:val="bg-BG"/>
        </w:rPr>
      </w:pPr>
    </w:p>
    <w:p w14:paraId="65FC0FEA" w14:textId="0AF458F6" w:rsidR="000B760F" w:rsidRPr="001D11CD" w:rsidRDefault="00835CBA" w:rsidP="00835CBA">
      <w:pPr>
        <w:rPr>
          <w:rFonts w:ascii="Times New Roman" w:hAnsi="Times New Roman" w:cs="Times New Roman"/>
          <w:i/>
          <w:sz w:val="22"/>
          <w:lang w:val="bg-BG"/>
        </w:rPr>
      </w:pPr>
      <w:r w:rsidRPr="001D11CD">
        <w:rPr>
          <w:i/>
          <w:sz w:val="22"/>
          <w:lang w:val="bg-BG"/>
        </w:rPr>
        <w:t>Решението ще стане окончателно при обстоятелствата по член 44</w:t>
      </w:r>
      <w:r w:rsidR="002050D2" w:rsidRPr="001D11CD">
        <w:rPr>
          <w:i/>
          <w:sz w:val="22"/>
          <w:lang w:val="bg-BG"/>
        </w:rPr>
        <w:t>,</w:t>
      </w:r>
      <w:r w:rsidRPr="001D11CD">
        <w:rPr>
          <w:i/>
          <w:sz w:val="22"/>
          <w:lang w:val="bg-BG"/>
        </w:rPr>
        <w:t xml:space="preserve"> § 2 от</w:t>
      </w:r>
      <w:r w:rsidR="005C50BE" w:rsidRPr="001D11CD">
        <w:rPr>
          <w:i/>
          <w:sz w:val="22"/>
          <w:lang w:val="bg-BG"/>
        </w:rPr>
        <w:t xml:space="preserve"> </w:t>
      </w:r>
      <w:r w:rsidRPr="001D11CD">
        <w:rPr>
          <w:i/>
          <w:sz w:val="22"/>
          <w:lang w:val="bg-BG"/>
        </w:rPr>
        <w:t>Конвенцията. То може да претърпи редакционни промени.</w:t>
      </w:r>
      <w:r w:rsidR="000B760F" w:rsidRPr="001D11CD">
        <w:rPr>
          <w:i/>
          <w:sz w:val="22"/>
          <w:lang w:val="bg-BG"/>
        </w:rPr>
        <w:t xml:space="preserve"> </w:t>
      </w:r>
    </w:p>
    <w:p w14:paraId="11FB83C4" w14:textId="77777777" w:rsidR="000B760F" w:rsidRPr="001D11CD" w:rsidRDefault="000B760F" w:rsidP="000B760F">
      <w:pPr>
        <w:ind w:left="720"/>
        <w:rPr>
          <w:rFonts w:ascii="Times New Roman" w:hAnsi="Times New Roman" w:cs="Times New Roman"/>
          <w:sz w:val="22"/>
          <w:lang w:val="bg-BG"/>
        </w:rPr>
        <w:sectPr w:rsidR="000B760F" w:rsidRPr="001D11CD" w:rsidSect="00902601">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78FA9E10" w14:textId="5EFA54C5" w:rsidR="000B760F" w:rsidRPr="001D11CD" w:rsidRDefault="00B55E67" w:rsidP="000B760F">
      <w:pPr>
        <w:pStyle w:val="JuCase"/>
        <w:rPr>
          <w:lang w:val="bg-BG"/>
        </w:rPr>
      </w:pPr>
      <w:r w:rsidRPr="001D11CD">
        <w:rPr>
          <w:lang w:val="bg-BG"/>
        </w:rPr>
        <w:lastRenderedPageBreak/>
        <w:t>По делото</w:t>
      </w:r>
      <w:r w:rsidR="000B760F" w:rsidRPr="001D11CD">
        <w:rPr>
          <w:lang w:val="bg-BG"/>
        </w:rPr>
        <w:t xml:space="preserve"> </w:t>
      </w:r>
      <w:r w:rsidR="00ED397C" w:rsidRPr="001D11CD">
        <w:rPr>
          <w:lang w:val="bg-BG"/>
        </w:rPr>
        <w:t>Местан</w:t>
      </w:r>
      <w:r w:rsidR="000B760F" w:rsidRPr="001D11CD">
        <w:rPr>
          <w:lang w:val="bg-BG"/>
        </w:rPr>
        <w:t xml:space="preserve"> </w:t>
      </w:r>
      <w:r w:rsidR="005C50BE" w:rsidRPr="001D11CD">
        <w:rPr>
          <w:lang w:val="bg-BG"/>
        </w:rPr>
        <w:t>срещу</w:t>
      </w:r>
      <w:r w:rsidR="000B760F" w:rsidRPr="001D11CD">
        <w:rPr>
          <w:lang w:val="bg-BG"/>
        </w:rPr>
        <w:t xml:space="preserve"> България,</w:t>
      </w:r>
    </w:p>
    <w:p w14:paraId="418EBDEE" w14:textId="3EE5DD92" w:rsidR="000B760F" w:rsidRPr="001D11CD" w:rsidRDefault="00FE2672" w:rsidP="000B760F">
      <w:pPr>
        <w:pStyle w:val="JuPara"/>
        <w:rPr>
          <w:lang w:val="bg-BG"/>
        </w:rPr>
      </w:pPr>
      <w:r w:rsidRPr="001D11CD">
        <w:rPr>
          <w:lang w:val="bg-BG"/>
        </w:rPr>
        <w:t>Европейският</w:t>
      </w:r>
      <w:r w:rsidR="00B55E67" w:rsidRPr="001D11CD">
        <w:rPr>
          <w:lang w:val="bg-BG"/>
        </w:rPr>
        <w:t xml:space="preserve"> съд по правата на човека</w:t>
      </w:r>
      <w:r w:rsidR="000B760F" w:rsidRPr="001D11CD">
        <w:rPr>
          <w:lang w:val="bg-BG"/>
        </w:rPr>
        <w:t xml:space="preserve"> (трето отделение), </w:t>
      </w:r>
      <w:r w:rsidR="005C50BE" w:rsidRPr="001D11CD">
        <w:rPr>
          <w:lang w:val="bg-BG"/>
        </w:rPr>
        <w:t>заседаващ в състав</w:t>
      </w:r>
      <w:r w:rsidR="000B760F" w:rsidRPr="001D11CD">
        <w:rPr>
          <w:lang w:val="bg-BG"/>
        </w:rPr>
        <w:t>:</w:t>
      </w:r>
    </w:p>
    <w:p w14:paraId="7A7306CA" w14:textId="77777777" w:rsidR="005C50BE" w:rsidRPr="001D11CD" w:rsidRDefault="000B760F" w:rsidP="000B760F">
      <w:pPr>
        <w:pStyle w:val="JuJudges"/>
        <w:rPr>
          <w:lang w:val="bg-BG"/>
        </w:rPr>
      </w:pPr>
      <w:r w:rsidRPr="001D11CD">
        <w:rPr>
          <w:lang w:val="bg-BG"/>
        </w:rPr>
        <w:tab/>
      </w:r>
      <w:r w:rsidR="005C50BE" w:rsidRPr="001D11CD">
        <w:rPr>
          <w:lang w:val="bg-BG"/>
        </w:rPr>
        <w:t xml:space="preserve">Пере Пастор </w:t>
      </w:r>
      <w:proofErr w:type="spellStart"/>
      <w:r w:rsidR="005C50BE" w:rsidRPr="001D11CD">
        <w:rPr>
          <w:lang w:val="bg-BG"/>
        </w:rPr>
        <w:t>Виланова</w:t>
      </w:r>
      <w:proofErr w:type="spellEnd"/>
      <w:r w:rsidR="005C50BE" w:rsidRPr="001D11CD">
        <w:rPr>
          <w:lang w:val="bg-BG"/>
        </w:rPr>
        <w:t xml:space="preserve"> (</w:t>
      </w:r>
      <w:proofErr w:type="spellStart"/>
      <w:r w:rsidRPr="001D11CD">
        <w:rPr>
          <w:lang w:val="bg-BG"/>
        </w:rPr>
        <w:t>Pere</w:t>
      </w:r>
      <w:proofErr w:type="spellEnd"/>
      <w:r w:rsidRPr="001D11CD">
        <w:rPr>
          <w:lang w:val="bg-BG"/>
        </w:rPr>
        <w:t xml:space="preserve"> </w:t>
      </w:r>
      <w:proofErr w:type="spellStart"/>
      <w:r w:rsidRPr="001D11CD">
        <w:rPr>
          <w:lang w:val="bg-BG"/>
        </w:rPr>
        <w:t>Pastor</w:t>
      </w:r>
      <w:proofErr w:type="spellEnd"/>
      <w:r w:rsidRPr="001D11CD">
        <w:rPr>
          <w:lang w:val="bg-BG"/>
        </w:rPr>
        <w:t xml:space="preserve"> </w:t>
      </w:r>
      <w:proofErr w:type="spellStart"/>
      <w:r w:rsidRPr="001D11CD">
        <w:rPr>
          <w:lang w:val="bg-BG"/>
        </w:rPr>
        <w:t>Vilanova</w:t>
      </w:r>
      <w:proofErr w:type="spellEnd"/>
      <w:r w:rsidR="005C50BE" w:rsidRPr="001D11CD">
        <w:rPr>
          <w:lang w:val="bg-BG"/>
        </w:rPr>
        <w:t>)</w:t>
      </w:r>
      <w:r w:rsidRPr="001D11CD">
        <w:rPr>
          <w:i/>
          <w:lang w:val="bg-BG"/>
        </w:rPr>
        <w:t xml:space="preserve">, </w:t>
      </w:r>
      <w:r w:rsidR="00B55E67" w:rsidRPr="001D11CD">
        <w:rPr>
          <w:i/>
          <w:lang w:val="bg-BG"/>
        </w:rPr>
        <w:t>председател</w:t>
      </w:r>
      <w:r w:rsidRPr="001D11CD">
        <w:rPr>
          <w:lang w:val="bg-BG"/>
        </w:rPr>
        <w:t>,</w:t>
      </w:r>
      <w:r w:rsidRPr="001D11CD">
        <w:rPr>
          <w:lang w:val="bg-BG"/>
        </w:rPr>
        <w:tab/>
      </w:r>
      <w:r w:rsidR="00B55E67" w:rsidRPr="001D11CD">
        <w:rPr>
          <w:lang w:val="bg-BG"/>
        </w:rPr>
        <w:t>Йонко Грозев</w:t>
      </w:r>
      <w:r w:rsidRPr="001D11CD">
        <w:rPr>
          <w:lang w:val="bg-BG"/>
        </w:rPr>
        <w:t>,</w:t>
      </w:r>
    </w:p>
    <w:p w14:paraId="4A403562" w14:textId="77777777" w:rsidR="005C50BE" w:rsidRPr="001D11CD" w:rsidRDefault="000B760F" w:rsidP="000B760F">
      <w:pPr>
        <w:pStyle w:val="JuJudges"/>
        <w:rPr>
          <w:lang w:val="bg-BG"/>
        </w:rPr>
      </w:pPr>
      <w:r w:rsidRPr="001D11CD">
        <w:rPr>
          <w:lang w:val="bg-BG"/>
        </w:rPr>
        <w:tab/>
      </w:r>
      <w:proofErr w:type="spellStart"/>
      <w:r w:rsidR="005C50BE" w:rsidRPr="001D11CD">
        <w:rPr>
          <w:lang w:val="bg-BG"/>
        </w:rPr>
        <w:t>Жолиен</w:t>
      </w:r>
      <w:proofErr w:type="spellEnd"/>
      <w:r w:rsidR="005C50BE" w:rsidRPr="001D11CD">
        <w:rPr>
          <w:lang w:val="bg-BG"/>
        </w:rPr>
        <w:t xml:space="preserve"> </w:t>
      </w:r>
      <w:proofErr w:type="spellStart"/>
      <w:r w:rsidR="005C50BE" w:rsidRPr="001D11CD">
        <w:rPr>
          <w:lang w:val="bg-BG"/>
        </w:rPr>
        <w:t>Шукинг</w:t>
      </w:r>
      <w:proofErr w:type="spellEnd"/>
      <w:r w:rsidR="005C50BE" w:rsidRPr="001D11CD">
        <w:rPr>
          <w:lang w:val="bg-BG"/>
        </w:rPr>
        <w:t xml:space="preserve"> (</w:t>
      </w:r>
      <w:proofErr w:type="spellStart"/>
      <w:r w:rsidRPr="001D11CD">
        <w:rPr>
          <w:lang w:val="bg-BG"/>
        </w:rPr>
        <w:t>Jolien</w:t>
      </w:r>
      <w:proofErr w:type="spellEnd"/>
      <w:r w:rsidRPr="001D11CD">
        <w:rPr>
          <w:lang w:val="bg-BG"/>
        </w:rPr>
        <w:t xml:space="preserve"> </w:t>
      </w:r>
      <w:proofErr w:type="spellStart"/>
      <w:r w:rsidRPr="001D11CD">
        <w:rPr>
          <w:lang w:val="bg-BG"/>
        </w:rPr>
        <w:t>Schukking</w:t>
      </w:r>
      <w:proofErr w:type="spellEnd"/>
      <w:r w:rsidR="005C50BE" w:rsidRPr="001D11CD">
        <w:rPr>
          <w:lang w:val="bg-BG"/>
        </w:rPr>
        <w:t>)</w:t>
      </w:r>
      <w:r w:rsidRPr="001D11CD">
        <w:rPr>
          <w:lang w:val="bg-BG"/>
        </w:rPr>
        <w:t>,</w:t>
      </w:r>
    </w:p>
    <w:p w14:paraId="470705D6" w14:textId="77777777" w:rsidR="005C50BE" w:rsidRPr="001D11CD" w:rsidRDefault="000B760F" w:rsidP="000B760F">
      <w:pPr>
        <w:pStyle w:val="JuJudges"/>
        <w:rPr>
          <w:lang w:val="bg-BG"/>
        </w:rPr>
      </w:pPr>
      <w:r w:rsidRPr="001D11CD">
        <w:rPr>
          <w:lang w:val="bg-BG"/>
        </w:rPr>
        <w:tab/>
      </w:r>
      <w:r w:rsidR="005C50BE" w:rsidRPr="001D11CD">
        <w:rPr>
          <w:lang w:val="bg-BG"/>
        </w:rPr>
        <w:t>Дариан Павли (</w:t>
      </w:r>
      <w:proofErr w:type="spellStart"/>
      <w:r w:rsidRPr="001D11CD">
        <w:rPr>
          <w:lang w:val="bg-BG"/>
        </w:rPr>
        <w:t>Darian</w:t>
      </w:r>
      <w:proofErr w:type="spellEnd"/>
      <w:r w:rsidRPr="001D11CD">
        <w:rPr>
          <w:lang w:val="bg-BG"/>
        </w:rPr>
        <w:t xml:space="preserve"> </w:t>
      </w:r>
      <w:proofErr w:type="spellStart"/>
      <w:r w:rsidRPr="001D11CD">
        <w:rPr>
          <w:lang w:val="bg-BG"/>
        </w:rPr>
        <w:t>Pavli</w:t>
      </w:r>
      <w:proofErr w:type="spellEnd"/>
      <w:r w:rsidR="005C50BE" w:rsidRPr="001D11CD">
        <w:rPr>
          <w:lang w:val="bg-BG"/>
        </w:rPr>
        <w:t>)</w:t>
      </w:r>
      <w:r w:rsidRPr="001D11CD">
        <w:rPr>
          <w:lang w:val="bg-BG"/>
        </w:rPr>
        <w:t>,</w:t>
      </w:r>
    </w:p>
    <w:p w14:paraId="2BB0A912" w14:textId="77777777" w:rsidR="005C50BE" w:rsidRPr="001D11CD" w:rsidRDefault="000B760F" w:rsidP="000B760F">
      <w:pPr>
        <w:pStyle w:val="JuJudges"/>
        <w:rPr>
          <w:lang w:val="bg-BG"/>
        </w:rPr>
      </w:pPr>
      <w:r w:rsidRPr="001D11CD">
        <w:rPr>
          <w:lang w:val="bg-BG"/>
        </w:rPr>
        <w:tab/>
      </w:r>
      <w:proofErr w:type="spellStart"/>
      <w:r w:rsidR="00B55E67" w:rsidRPr="001D11CD">
        <w:rPr>
          <w:lang w:val="bg-BG"/>
        </w:rPr>
        <w:t>Йоанис</w:t>
      </w:r>
      <w:proofErr w:type="spellEnd"/>
      <w:r w:rsidR="00B55E67" w:rsidRPr="001D11CD">
        <w:rPr>
          <w:lang w:val="bg-BG"/>
        </w:rPr>
        <w:t xml:space="preserve"> </w:t>
      </w:r>
      <w:proofErr w:type="spellStart"/>
      <w:r w:rsidR="00B55E67" w:rsidRPr="001D11CD">
        <w:rPr>
          <w:lang w:val="bg-BG"/>
        </w:rPr>
        <w:t>Ктистакис</w:t>
      </w:r>
      <w:proofErr w:type="spellEnd"/>
      <w:r w:rsidR="00B55E67" w:rsidRPr="001D11CD">
        <w:rPr>
          <w:lang w:val="bg-BG"/>
        </w:rPr>
        <w:t xml:space="preserve"> (</w:t>
      </w:r>
      <w:proofErr w:type="spellStart"/>
      <w:r w:rsidR="00B55E67" w:rsidRPr="001D11CD">
        <w:rPr>
          <w:lang w:val="bg-BG"/>
        </w:rPr>
        <w:t>Ioannis</w:t>
      </w:r>
      <w:proofErr w:type="spellEnd"/>
      <w:r w:rsidR="00B55E67" w:rsidRPr="001D11CD">
        <w:rPr>
          <w:lang w:val="bg-BG"/>
        </w:rPr>
        <w:t xml:space="preserve"> </w:t>
      </w:r>
      <w:proofErr w:type="spellStart"/>
      <w:r w:rsidR="00B55E67" w:rsidRPr="001D11CD">
        <w:rPr>
          <w:lang w:val="bg-BG"/>
        </w:rPr>
        <w:t>Ktistakis</w:t>
      </w:r>
      <w:proofErr w:type="spellEnd"/>
      <w:r w:rsidR="00B55E67" w:rsidRPr="001D11CD">
        <w:rPr>
          <w:lang w:val="bg-BG"/>
        </w:rPr>
        <w:t>)</w:t>
      </w:r>
      <w:r w:rsidRPr="001D11CD">
        <w:rPr>
          <w:lang w:val="bg-BG"/>
        </w:rPr>
        <w:t>,</w:t>
      </w:r>
    </w:p>
    <w:p w14:paraId="0876386E" w14:textId="77777777" w:rsidR="005C50BE" w:rsidRPr="001D11CD" w:rsidRDefault="000B760F" w:rsidP="000B760F">
      <w:pPr>
        <w:pStyle w:val="JuJudges"/>
        <w:rPr>
          <w:lang w:val="bg-BG"/>
        </w:rPr>
      </w:pPr>
      <w:r w:rsidRPr="001D11CD">
        <w:rPr>
          <w:lang w:val="bg-BG"/>
        </w:rPr>
        <w:tab/>
      </w:r>
      <w:r w:rsidR="005C50BE" w:rsidRPr="001D11CD">
        <w:rPr>
          <w:lang w:val="bg-BG"/>
        </w:rPr>
        <w:t xml:space="preserve">Андреас </w:t>
      </w:r>
      <w:proofErr w:type="spellStart"/>
      <w:r w:rsidR="005C50BE" w:rsidRPr="001D11CD">
        <w:rPr>
          <w:lang w:val="bg-BG"/>
        </w:rPr>
        <w:t>Зюнд</w:t>
      </w:r>
      <w:proofErr w:type="spellEnd"/>
      <w:r w:rsidR="00B55E67" w:rsidRPr="001D11CD">
        <w:rPr>
          <w:lang w:val="bg-BG"/>
        </w:rPr>
        <w:t xml:space="preserve"> (</w:t>
      </w:r>
      <w:proofErr w:type="spellStart"/>
      <w:r w:rsidR="00B55E67" w:rsidRPr="001D11CD">
        <w:rPr>
          <w:lang w:val="bg-BG"/>
        </w:rPr>
        <w:t>Andreas</w:t>
      </w:r>
      <w:proofErr w:type="spellEnd"/>
      <w:r w:rsidR="00B55E67" w:rsidRPr="001D11CD">
        <w:rPr>
          <w:lang w:val="bg-BG"/>
        </w:rPr>
        <w:t xml:space="preserve"> </w:t>
      </w:r>
      <w:proofErr w:type="spellStart"/>
      <w:r w:rsidR="00B55E67" w:rsidRPr="001D11CD">
        <w:rPr>
          <w:lang w:val="bg-BG"/>
        </w:rPr>
        <w:t>Zünd</w:t>
      </w:r>
      <w:proofErr w:type="spellEnd"/>
      <w:r w:rsidR="00B55E67" w:rsidRPr="001D11CD">
        <w:rPr>
          <w:lang w:val="bg-BG"/>
        </w:rPr>
        <w:t>)</w:t>
      </w:r>
      <w:r w:rsidRPr="001D11CD">
        <w:rPr>
          <w:lang w:val="bg-BG"/>
        </w:rPr>
        <w:t>,</w:t>
      </w:r>
    </w:p>
    <w:p w14:paraId="5F1D2183" w14:textId="77777777" w:rsidR="005C50BE" w:rsidRPr="001D11CD" w:rsidRDefault="000B760F" w:rsidP="000B760F">
      <w:pPr>
        <w:pStyle w:val="JuJudges"/>
        <w:rPr>
          <w:lang w:val="bg-BG"/>
        </w:rPr>
      </w:pPr>
      <w:r w:rsidRPr="001D11CD">
        <w:rPr>
          <w:lang w:val="bg-BG"/>
        </w:rPr>
        <w:tab/>
      </w:r>
      <w:proofErr w:type="spellStart"/>
      <w:r w:rsidR="005C50BE" w:rsidRPr="001D11CD">
        <w:rPr>
          <w:lang w:val="bg-BG"/>
        </w:rPr>
        <w:t>Одни</w:t>
      </w:r>
      <w:proofErr w:type="spellEnd"/>
      <w:r w:rsidR="005C50BE" w:rsidRPr="001D11CD">
        <w:rPr>
          <w:lang w:val="bg-BG"/>
        </w:rPr>
        <w:t xml:space="preserve"> </w:t>
      </w:r>
      <w:proofErr w:type="spellStart"/>
      <w:r w:rsidR="005C50BE" w:rsidRPr="001D11CD">
        <w:rPr>
          <w:lang w:val="bg-BG"/>
        </w:rPr>
        <w:t>Мьол</w:t>
      </w:r>
      <w:proofErr w:type="spellEnd"/>
      <w:r w:rsidR="005C50BE" w:rsidRPr="001D11CD">
        <w:rPr>
          <w:lang w:val="bg-BG"/>
        </w:rPr>
        <w:t xml:space="preserve"> </w:t>
      </w:r>
      <w:proofErr w:type="spellStart"/>
      <w:r w:rsidR="005C50BE" w:rsidRPr="001D11CD">
        <w:rPr>
          <w:lang w:val="bg-BG"/>
        </w:rPr>
        <w:t>Арнардотир</w:t>
      </w:r>
      <w:proofErr w:type="spellEnd"/>
      <w:r w:rsidR="005C50BE" w:rsidRPr="001D11CD">
        <w:rPr>
          <w:lang w:val="bg-BG"/>
        </w:rPr>
        <w:t xml:space="preserve"> (</w:t>
      </w:r>
      <w:proofErr w:type="spellStart"/>
      <w:r w:rsidRPr="001D11CD">
        <w:rPr>
          <w:lang w:val="bg-BG"/>
        </w:rPr>
        <w:t>Oddný</w:t>
      </w:r>
      <w:proofErr w:type="spellEnd"/>
      <w:r w:rsidRPr="001D11CD">
        <w:rPr>
          <w:lang w:val="bg-BG"/>
        </w:rPr>
        <w:t xml:space="preserve"> </w:t>
      </w:r>
      <w:proofErr w:type="spellStart"/>
      <w:r w:rsidRPr="001D11CD">
        <w:rPr>
          <w:lang w:val="bg-BG"/>
        </w:rPr>
        <w:t>Mjöll</w:t>
      </w:r>
      <w:proofErr w:type="spellEnd"/>
      <w:r w:rsidRPr="001D11CD">
        <w:rPr>
          <w:lang w:val="bg-BG"/>
        </w:rPr>
        <w:t xml:space="preserve"> </w:t>
      </w:r>
      <w:proofErr w:type="spellStart"/>
      <w:r w:rsidRPr="001D11CD">
        <w:rPr>
          <w:lang w:val="bg-BG"/>
        </w:rPr>
        <w:t>Arnardóttir</w:t>
      </w:r>
      <w:proofErr w:type="spellEnd"/>
      <w:r w:rsidR="005C50BE" w:rsidRPr="001D11CD">
        <w:rPr>
          <w:lang w:val="bg-BG"/>
        </w:rPr>
        <w:t>)</w:t>
      </w:r>
      <w:r w:rsidRPr="001D11CD">
        <w:rPr>
          <w:i/>
          <w:lang w:val="bg-BG"/>
        </w:rPr>
        <w:t xml:space="preserve">, </w:t>
      </w:r>
      <w:r w:rsidR="00B55E67" w:rsidRPr="001D11CD">
        <w:rPr>
          <w:i/>
          <w:lang w:val="bg-BG"/>
        </w:rPr>
        <w:t>съдии</w:t>
      </w:r>
      <w:r w:rsidRPr="001D11CD">
        <w:rPr>
          <w:lang w:val="bg-BG"/>
        </w:rPr>
        <w:t>,</w:t>
      </w:r>
    </w:p>
    <w:p w14:paraId="1C191F84" w14:textId="101E43D2" w:rsidR="000B760F" w:rsidRPr="001D11CD" w:rsidRDefault="005C50BE" w:rsidP="000B760F">
      <w:pPr>
        <w:pStyle w:val="JuJudges"/>
        <w:rPr>
          <w:lang w:val="bg-BG"/>
        </w:rPr>
      </w:pPr>
      <w:r w:rsidRPr="001D11CD">
        <w:rPr>
          <w:lang w:val="bg-BG"/>
        </w:rPr>
        <w:t>и</w:t>
      </w:r>
      <w:r w:rsidR="000B760F" w:rsidRPr="001D11CD">
        <w:rPr>
          <w:lang w:val="bg-BG"/>
        </w:rPr>
        <w:t xml:space="preserve"> </w:t>
      </w:r>
      <w:r w:rsidRPr="001D11CD">
        <w:rPr>
          <w:lang w:val="bg-BG"/>
        </w:rPr>
        <w:t xml:space="preserve">Милан </w:t>
      </w:r>
      <w:proofErr w:type="spellStart"/>
      <w:r w:rsidRPr="001D11CD">
        <w:rPr>
          <w:lang w:val="bg-BG"/>
        </w:rPr>
        <w:t>Блашко</w:t>
      </w:r>
      <w:proofErr w:type="spellEnd"/>
      <w:r w:rsidRPr="001D11CD">
        <w:rPr>
          <w:lang w:val="bg-BG"/>
        </w:rPr>
        <w:t xml:space="preserve"> (</w:t>
      </w:r>
      <w:proofErr w:type="spellStart"/>
      <w:r w:rsidR="000B760F" w:rsidRPr="001D11CD">
        <w:rPr>
          <w:lang w:val="bg-BG"/>
        </w:rPr>
        <w:t>Milan</w:t>
      </w:r>
      <w:proofErr w:type="spellEnd"/>
      <w:r w:rsidR="000B760F" w:rsidRPr="001D11CD">
        <w:rPr>
          <w:lang w:val="bg-BG"/>
        </w:rPr>
        <w:t xml:space="preserve"> Blaško</w:t>
      </w:r>
      <w:r w:rsidRPr="001D11CD">
        <w:rPr>
          <w:lang w:val="bg-BG"/>
        </w:rPr>
        <w:t>)</w:t>
      </w:r>
      <w:r w:rsidR="000B760F" w:rsidRPr="001D11CD">
        <w:rPr>
          <w:lang w:val="bg-BG"/>
        </w:rPr>
        <w:t xml:space="preserve">, </w:t>
      </w:r>
      <w:r w:rsidRPr="001D11CD">
        <w:rPr>
          <w:i/>
          <w:lang w:val="bg-BG"/>
        </w:rPr>
        <w:t>секретар на отделението</w:t>
      </w:r>
      <w:r w:rsidR="000B760F" w:rsidRPr="001D11CD">
        <w:rPr>
          <w:lang w:val="bg-BG"/>
        </w:rPr>
        <w:t>,</w:t>
      </w:r>
    </w:p>
    <w:p w14:paraId="0ADACC72" w14:textId="30CC6A7E" w:rsidR="000B760F" w:rsidRPr="001D11CD" w:rsidRDefault="000C7FEC" w:rsidP="000B760F">
      <w:pPr>
        <w:pStyle w:val="JuPara"/>
        <w:rPr>
          <w:lang w:val="bg-BG"/>
        </w:rPr>
      </w:pPr>
      <w:r w:rsidRPr="001D11CD">
        <w:rPr>
          <w:lang w:val="bg-BG"/>
        </w:rPr>
        <w:t>Предвид</w:t>
      </w:r>
      <w:r w:rsidR="000B760F" w:rsidRPr="001D11CD">
        <w:rPr>
          <w:lang w:val="bg-BG"/>
        </w:rPr>
        <w:t xml:space="preserve"> </w:t>
      </w:r>
      <w:r w:rsidR="00607AD8" w:rsidRPr="001D11CD">
        <w:rPr>
          <w:lang w:val="bg-BG"/>
        </w:rPr>
        <w:t>жалба</w:t>
      </w:r>
      <w:r w:rsidRPr="001D11CD">
        <w:rPr>
          <w:lang w:val="bg-BG"/>
        </w:rPr>
        <w:t>та</w:t>
      </w:r>
      <w:r w:rsidR="000B760F" w:rsidRPr="001D11CD">
        <w:rPr>
          <w:lang w:val="bg-BG"/>
        </w:rPr>
        <w:t xml:space="preserve"> (</w:t>
      </w:r>
      <w:r w:rsidRPr="001D11CD">
        <w:rPr>
          <w:lang w:val="bg-BG"/>
        </w:rPr>
        <w:t>№</w:t>
      </w:r>
      <w:r w:rsidR="000B760F" w:rsidRPr="001D11CD">
        <w:rPr>
          <w:lang w:val="bg-BG"/>
        </w:rPr>
        <w:t xml:space="preserve"> 24108/15) </w:t>
      </w:r>
      <w:r w:rsidR="007D33E1" w:rsidRPr="001D11CD">
        <w:rPr>
          <w:lang w:val="bg-BG"/>
        </w:rPr>
        <w:t>срещу</w:t>
      </w:r>
      <w:r w:rsidR="000B760F" w:rsidRPr="001D11CD">
        <w:rPr>
          <w:lang w:val="bg-BG"/>
        </w:rPr>
        <w:t xml:space="preserve"> </w:t>
      </w:r>
      <w:r w:rsidR="007D33E1" w:rsidRPr="001D11CD">
        <w:rPr>
          <w:lang w:val="bg-BG"/>
        </w:rPr>
        <w:t>Република</w:t>
      </w:r>
      <w:r w:rsidR="000B760F" w:rsidRPr="001D11CD">
        <w:rPr>
          <w:lang w:val="bg-BG"/>
        </w:rPr>
        <w:t xml:space="preserve"> България</w:t>
      </w:r>
      <w:r w:rsidRPr="001D11CD">
        <w:rPr>
          <w:lang w:val="bg-BG"/>
        </w:rPr>
        <w:t>, подадена от гражданина на тази държава, г-н</w:t>
      </w:r>
      <w:r w:rsidR="000B760F" w:rsidRPr="001D11CD">
        <w:rPr>
          <w:lang w:val="bg-BG"/>
        </w:rPr>
        <w:t xml:space="preserve"> </w:t>
      </w:r>
      <w:r w:rsidRPr="001D11CD">
        <w:rPr>
          <w:lang w:val="bg-BG"/>
        </w:rPr>
        <w:t>Лютви Ахмед</w:t>
      </w:r>
      <w:r w:rsidR="000B760F" w:rsidRPr="001D11CD">
        <w:rPr>
          <w:lang w:val="bg-BG"/>
        </w:rPr>
        <w:t xml:space="preserve"> </w:t>
      </w:r>
      <w:r w:rsidR="00ED397C" w:rsidRPr="001D11CD">
        <w:rPr>
          <w:lang w:val="bg-BG"/>
        </w:rPr>
        <w:t>Местан</w:t>
      </w:r>
      <w:r w:rsidR="000B760F" w:rsidRPr="001D11CD">
        <w:rPr>
          <w:lang w:val="bg-BG"/>
        </w:rPr>
        <w:t xml:space="preserve"> (</w:t>
      </w:r>
      <w:r w:rsidRPr="001D11CD">
        <w:rPr>
          <w:lang w:val="bg-BG"/>
        </w:rPr>
        <w:t>„жалбоподателят</w:t>
      </w:r>
      <w:r w:rsidR="00B338A9">
        <w:rPr>
          <w:lang w:val="bg-BG"/>
        </w:rPr>
        <w:t>“</w:t>
      </w:r>
      <w:r w:rsidR="000B760F" w:rsidRPr="001D11CD">
        <w:rPr>
          <w:lang w:val="bg-BG"/>
        </w:rPr>
        <w:t>)</w:t>
      </w:r>
      <w:r w:rsidR="006E1414" w:rsidRPr="001D11CD">
        <w:rPr>
          <w:lang w:val="bg-BG"/>
        </w:rPr>
        <w:t xml:space="preserve">, </w:t>
      </w:r>
      <w:r w:rsidRPr="001D11CD">
        <w:rPr>
          <w:lang w:val="bg-BG"/>
        </w:rPr>
        <w:t xml:space="preserve">до </w:t>
      </w:r>
      <w:r w:rsidR="007D33E1" w:rsidRPr="001D11CD">
        <w:rPr>
          <w:lang w:val="bg-BG"/>
        </w:rPr>
        <w:t>Съд</w:t>
      </w:r>
      <w:r w:rsidRPr="001D11CD">
        <w:rPr>
          <w:lang w:val="bg-BG"/>
        </w:rPr>
        <w:t>а</w:t>
      </w:r>
      <w:r w:rsidR="000B760F" w:rsidRPr="001D11CD">
        <w:rPr>
          <w:lang w:val="bg-BG"/>
        </w:rPr>
        <w:t xml:space="preserve"> </w:t>
      </w:r>
      <w:r w:rsidR="00156A3C" w:rsidRPr="001D11CD">
        <w:rPr>
          <w:lang w:val="bg-BG"/>
        </w:rPr>
        <w:t xml:space="preserve">на основание член 34 от Конвенцията за защита </w:t>
      </w:r>
      <w:r w:rsidR="002050D2" w:rsidRPr="001D11CD">
        <w:rPr>
          <w:lang w:val="bg-BG"/>
        </w:rPr>
        <w:t xml:space="preserve">на </w:t>
      </w:r>
      <w:r w:rsidR="00156A3C" w:rsidRPr="001D11CD">
        <w:rPr>
          <w:lang w:val="bg-BG"/>
        </w:rPr>
        <w:t>правата на човека и основните свободи</w:t>
      </w:r>
      <w:r w:rsidR="000B760F" w:rsidRPr="001D11CD">
        <w:rPr>
          <w:lang w:val="bg-BG"/>
        </w:rPr>
        <w:t xml:space="preserve"> (</w:t>
      </w:r>
      <w:r w:rsidRPr="001D11CD">
        <w:rPr>
          <w:lang w:val="bg-BG"/>
        </w:rPr>
        <w:t>„</w:t>
      </w:r>
      <w:r w:rsidR="00156A3C" w:rsidRPr="001D11CD">
        <w:rPr>
          <w:lang w:val="bg-BG"/>
        </w:rPr>
        <w:t>Конвенцията</w:t>
      </w:r>
      <w:r w:rsidRPr="001D11CD">
        <w:rPr>
          <w:lang w:val="bg-BG"/>
        </w:rPr>
        <w:t>“</w:t>
      </w:r>
      <w:r w:rsidR="000B760F" w:rsidRPr="001D11CD">
        <w:rPr>
          <w:lang w:val="bg-BG"/>
        </w:rPr>
        <w:t xml:space="preserve">) </w:t>
      </w:r>
      <w:r w:rsidRPr="001D11CD">
        <w:rPr>
          <w:lang w:val="bg-BG"/>
        </w:rPr>
        <w:t xml:space="preserve">на </w:t>
      </w:r>
      <w:r w:rsidR="000B760F" w:rsidRPr="001D11CD">
        <w:rPr>
          <w:lang w:val="bg-BG"/>
        </w:rPr>
        <w:t>12 </w:t>
      </w:r>
      <w:r w:rsidRPr="001D11CD">
        <w:rPr>
          <w:lang w:val="bg-BG"/>
        </w:rPr>
        <w:t>май</w:t>
      </w:r>
      <w:r w:rsidR="000B760F" w:rsidRPr="001D11CD">
        <w:rPr>
          <w:lang w:val="bg-BG"/>
        </w:rPr>
        <w:t xml:space="preserve"> 2015</w:t>
      </w:r>
      <w:r w:rsidRPr="001D11CD">
        <w:rPr>
          <w:lang w:val="bg-BG"/>
        </w:rPr>
        <w:t xml:space="preserve"> година</w:t>
      </w:r>
      <w:r w:rsidR="000B760F" w:rsidRPr="001D11CD">
        <w:rPr>
          <w:lang w:val="bg-BG"/>
        </w:rPr>
        <w:t>,</w:t>
      </w:r>
    </w:p>
    <w:p w14:paraId="06E1DB74" w14:textId="19A8B026" w:rsidR="000B760F" w:rsidRPr="001D11CD" w:rsidRDefault="000C7FEC" w:rsidP="000B760F">
      <w:pPr>
        <w:pStyle w:val="JuPara"/>
        <w:rPr>
          <w:lang w:val="bg-BG"/>
        </w:rPr>
      </w:pPr>
      <w:r w:rsidRPr="001D11CD">
        <w:rPr>
          <w:lang w:val="bg-BG"/>
        </w:rPr>
        <w:t>Предвид</w:t>
      </w:r>
      <w:r w:rsidR="000B760F" w:rsidRPr="001D11CD">
        <w:rPr>
          <w:lang w:val="bg-BG"/>
        </w:rPr>
        <w:t xml:space="preserve"> </w:t>
      </w:r>
      <w:r w:rsidR="00156A3C" w:rsidRPr="001D11CD">
        <w:rPr>
          <w:lang w:val="bg-BG"/>
        </w:rPr>
        <w:t>решението</w:t>
      </w:r>
      <w:r w:rsidR="000B760F" w:rsidRPr="001D11CD">
        <w:rPr>
          <w:lang w:val="bg-BG"/>
        </w:rPr>
        <w:t xml:space="preserve"> </w:t>
      </w:r>
      <w:r w:rsidR="00156A3C" w:rsidRPr="001D11CD">
        <w:rPr>
          <w:lang w:val="bg-BG"/>
        </w:rPr>
        <w:t>българското правителство</w:t>
      </w:r>
      <w:r w:rsidR="000B760F" w:rsidRPr="001D11CD">
        <w:rPr>
          <w:lang w:val="bg-BG"/>
        </w:rPr>
        <w:t xml:space="preserve"> </w:t>
      </w:r>
      <w:r w:rsidR="0007409E" w:rsidRPr="001D11CD">
        <w:rPr>
          <w:lang w:val="bg-BG"/>
        </w:rPr>
        <w:t xml:space="preserve">(„Правителството“) да бъде запознато с оплакванията относно </w:t>
      </w:r>
      <w:r w:rsidR="00FC639A" w:rsidRPr="001D11CD">
        <w:rPr>
          <w:lang w:val="bg-BG"/>
        </w:rPr>
        <w:t>административно</w:t>
      </w:r>
      <w:r w:rsidR="002050D2" w:rsidRPr="001D11CD">
        <w:rPr>
          <w:lang w:val="bg-BG"/>
        </w:rPr>
        <w:t>то</w:t>
      </w:r>
      <w:r w:rsidR="00FC639A" w:rsidRPr="001D11CD">
        <w:rPr>
          <w:lang w:val="bg-BG"/>
        </w:rPr>
        <w:t xml:space="preserve"> наказание</w:t>
      </w:r>
      <w:r w:rsidR="0007409E" w:rsidRPr="001D11CD">
        <w:rPr>
          <w:lang w:val="bg-BG"/>
        </w:rPr>
        <w:t>,</w:t>
      </w:r>
      <w:r w:rsidR="000B760F" w:rsidRPr="001D11CD">
        <w:rPr>
          <w:lang w:val="bg-BG"/>
        </w:rPr>
        <w:t xml:space="preserve"> </w:t>
      </w:r>
      <w:r w:rsidR="0007409E" w:rsidRPr="001D11CD">
        <w:rPr>
          <w:lang w:val="bg-BG"/>
        </w:rPr>
        <w:t>наложен</w:t>
      </w:r>
      <w:r w:rsidR="00E164AE" w:rsidRPr="001D11CD">
        <w:rPr>
          <w:lang w:val="bg-BG"/>
        </w:rPr>
        <w:t>о</w:t>
      </w:r>
      <w:r w:rsidR="000B760F" w:rsidRPr="001D11CD">
        <w:rPr>
          <w:lang w:val="bg-BG"/>
        </w:rPr>
        <w:t xml:space="preserve"> </w:t>
      </w:r>
      <w:r w:rsidR="0007409E" w:rsidRPr="001D11CD">
        <w:rPr>
          <w:lang w:val="bg-BG"/>
        </w:rPr>
        <w:t>на</w:t>
      </w:r>
      <w:r w:rsidR="000B760F" w:rsidRPr="001D11CD">
        <w:rPr>
          <w:lang w:val="bg-BG"/>
        </w:rPr>
        <w:t xml:space="preserve"> </w:t>
      </w:r>
      <w:r w:rsidRPr="001D11CD">
        <w:rPr>
          <w:lang w:val="bg-BG"/>
        </w:rPr>
        <w:t>жалбоподателя</w:t>
      </w:r>
      <w:r w:rsidR="000B760F" w:rsidRPr="001D11CD">
        <w:rPr>
          <w:lang w:val="bg-BG"/>
        </w:rPr>
        <w:t xml:space="preserve"> </w:t>
      </w:r>
      <w:r w:rsidR="0007409E" w:rsidRPr="001D11CD">
        <w:rPr>
          <w:lang w:val="bg-BG"/>
        </w:rPr>
        <w:t>с мотива, че</w:t>
      </w:r>
      <w:r w:rsidR="000B760F" w:rsidRPr="001D11CD">
        <w:rPr>
          <w:lang w:val="bg-BG"/>
        </w:rPr>
        <w:t xml:space="preserve"> </w:t>
      </w:r>
      <w:r w:rsidR="0007409E" w:rsidRPr="001D11CD">
        <w:rPr>
          <w:lang w:val="bg-BG"/>
        </w:rPr>
        <w:t xml:space="preserve">се е </w:t>
      </w:r>
      <w:r w:rsidR="00FE2672" w:rsidRPr="001D11CD">
        <w:rPr>
          <w:lang w:val="bg-BG"/>
        </w:rPr>
        <w:t>изразявал</w:t>
      </w:r>
      <w:r w:rsidR="0007409E" w:rsidRPr="001D11CD">
        <w:rPr>
          <w:lang w:val="bg-BG"/>
        </w:rPr>
        <w:t xml:space="preserve"> на</w:t>
      </w:r>
      <w:r w:rsidR="000B760F" w:rsidRPr="001D11CD">
        <w:rPr>
          <w:lang w:val="bg-BG"/>
        </w:rPr>
        <w:t xml:space="preserve"> </w:t>
      </w:r>
      <w:r w:rsidR="0007409E" w:rsidRPr="001D11CD">
        <w:rPr>
          <w:lang w:val="bg-BG"/>
        </w:rPr>
        <w:t>турски</w:t>
      </w:r>
      <w:r w:rsidR="000B760F" w:rsidRPr="001D11CD">
        <w:rPr>
          <w:lang w:val="bg-BG"/>
        </w:rPr>
        <w:t xml:space="preserve"> </w:t>
      </w:r>
      <w:r w:rsidR="002050D2" w:rsidRPr="001D11CD">
        <w:rPr>
          <w:lang w:val="bg-BG"/>
        </w:rPr>
        <w:t xml:space="preserve">език </w:t>
      </w:r>
      <w:r w:rsidR="0007409E" w:rsidRPr="001D11CD">
        <w:rPr>
          <w:lang w:val="bg-BG"/>
        </w:rPr>
        <w:t>по време на предизборна кампания</w:t>
      </w:r>
      <w:r w:rsidR="000B760F" w:rsidRPr="001D11CD">
        <w:rPr>
          <w:lang w:val="bg-BG"/>
        </w:rPr>
        <w:t>,</w:t>
      </w:r>
    </w:p>
    <w:p w14:paraId="21ACA0CC" w14:textId="0B0CEE44" w:rsidR="000B760F" w:rsidRPr="001D11CD" w:rsidRDefault="007C0A9B" w:rsidP="000B760F">
      <w:pPr>
        <w:pStyle w:val="JuPara"/>
        <w:rPr>
          <w:lang w:val="bg-BG"/>
        </w:rPr>
      </w:pPr>
      <w:r w:rsidRPr="001D11CD">
        <w:rPr>
          <w:lang w:val="bg-BG"/>
        </w:rPr>
        <w:t>Предвид</w:t>
      </w:r>
      <w:r w:rsidR="000B760F" w:rsidRPr="001D11CD">
        <w:rPr>
          <w:lang w:val="bg-BG"/>
        </w:rPr>
        <w:t xml:space="preserve"> </w:t>
      </w:r>
      <w:r w:rsidR="001A14B1" w:rsidRPr="001D11CD">
        <w:rPr>
          <w:lang w:val="bg-BG"/>
        </w:rPr>
        <w:t>становищата</w:t>
      </w:r>
      <w:r w:rsidR="000B760F" w:rsidRPr="001D11CD">
        <w:rPr>
          <w:lang w:val="bg-BG"/>
        </w:rPr>
        <w:t xml:space="preserve"> </w:t>
      </w:r>
      <w:r w:rsidR="001A14B1" w:rsidRPr="001D11CD">
        <w:rPr>
          <w:lang w:val="bg-BG"/>
        </w:rPr>
        <w:t>на страните</w:t>
      </w:r>
      <w:r w:rsidR="000B760F" w:rsidRPr="001D11CD">
        <w:rPr>
          <w:lang w:val="bg-BG"/>
        </w:rPr>
        <w:t>,</w:t>
      </w:r>
    </w:p>
    <w:p w14:paraId="76A179AA" w14:textId="6F4A8A4D" w:rsidR="000B760F" w:rsidRPr="001D11CD" w:rsidRDefault="00004D37" w:rsidP="000B760F">
      <w:pPr>
        <w:pStyle w:val="JuPara"/>
        <w:rPr>
          <w:lang w:val="bg-BG"/>
        </w:rPr>
      </w:pPr>
      <w:r w:rsidRPr="001D11CD">
        <w:rPr>
          <w:lang w:val="bg-BG"/>
        </w:rPr>
        <w:t>След обсъждане в закрито заседание на</w:t>
      </w:r>
      <w:r w:rsidR="000B760F" w:rsidRPr="001D11CD">
        <w:rPr>
          <w:lang w:val="bg-BG"/>
        </w:rPr>
        <w:t xml:space="preserve"> 28 </w:t>
      </w:r>
      <w:r w:rsidR="00CC2212" w:rsidRPr="001D11CD">
        <w:rPr>
          <w:lang w:val="bg-BG"/>
        </w:rPr>
        <w:t>март</w:t>
      </w:r>
      <w:r w:rsidR="000B760F" w:rsidRPr="001D11CD">
        <w:rPr>
          <w:lang w:val="bg-BG"/>
        </w:rPr>
        <w:t xml:space="preserve"> 2023</w:t>
      </w:r>
      <w:r w:rsidR="002050D2" w:rsidRPr="001D11CD">
        <w:rPr>
          <w:lang w:val="bg-BG"/>
        </w:rPr>
        <w:t> г.</w:t>
      </w:r>
      <w:r w:rsidR="000B760F" w:rsidRPr="001D11CD">
        <w:rPr>
          <w:lang w:val="bg-BG"/>
        </w:rPr>
        <w:t>,</w:t>
      </w:r>
    </w:p>
    <w:p w14:paraId="2BC55A82" w14:textId="6C2CAAE5" w:rsidR="000B760F" w:rsidRPr="001D11CD" w:rsidRDefault="00004D37" w:rsidP="000B760F">
      <w:pPr>
        <w:pStyle w:val="JuPara"/>
        <w:rPr>
          <w:lang w:val="bg-BG"/>
        </w:rPr>
      </w:pPr>
      <w:r w:rsidRPr="001D11CD">
        <w:rPr>
          <w:lang w:val="bg-BG"/>
        </w:rPr>
        <w:t>Се произнесе със следното съдебно решение, постановено на същата дата:</w:t>
      </w:r>
    </w:p>
    <w:p w14:paraId="4D2DE87F" w14:textId="2105A04F" w:rsidR="000B760F" w:rsidRPr="001D11CD" w:rsidRDefault="007C0A9B" w:rsidP="000B760F">
      <w:pPr>
        <w:pStyle w:val="JuHHead"/>
        <w:rPr>
          <w:lang w:val="bg-BG"/>
        </w:rPr>
      </w:pPr>
      <w:r w:rsidRPr="001D11CD">
        <w:rPr>
          <w:lang w:val="bg-BG"/>
        </w:rPr>
        <w:t>ВЪВЕДЕНИЕ</w:t>
      </w:r>
    </w:p>
    <w:p w14:paraId="753D1D9C" w14:textId="45C3EDB3"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1</w:t>
      </w:r>
      <w:r w:rsidRPr="001D11CD">
        <w:rPr>
          <w:lang w:val="bg-BG"/>
        </w:rPr>
        <w:fldChar w:fldCharType="end"/>
      </w:r>
      <w:r w:rsidRPr="001D11CD">
        <w:rPr>
          <w:lang w:val="bg-BG"/>
        </w:rPr>
        <w:t>.  </w:t>
      </w:r>
      <w:r w:rsidR="007C0A9B" w:rsidRPr="001D11CD">
        <w:rPr>
          <w:lang w:val="bg-BG"/>
        </w:rPr>
        <w:t>Настоящ</w:t>
      </w:r>
      <w:r w:rsidR="00FA141B" w:rsidRPr="001D11CD">
        <w:rPr>
          <w:lang w:val="bg-BG"/>
        </w:rPr>
        <w:t>о</w:t>
      </w:r>
      <w:r w:rsidR="007C0A9B" w:rsidRPr="001D11CD">
        <w:rPr>
          <w:lang w:val="bg-BG"/>
        </w:rPr>
        <w:t xml:space="preserve">то дело се отнася до административното наказание, наложено на жалбоподателя, лидер на политическа партия и кандидат на българските парламентарни избори през 2013 година, на основание, че е говорил на турски език на събитие, организирано в рамките на предизборната кампания. Жалбоподателят се позовава на свободата си да </w:t>
      </w:r>
      <w:r w:rsidR="00FC639A" w:rsidRPr="001D11CD">
        <w:rPr>
          <w:lang w:val="bg-BG"/>
        </w:rPr>
        <w:t>разпространява</w:t>
      </w:r>
      <w:r w:rsidR="007C0A9B" w:rsidRPr="001D11CD">
        <w:rPr>
          <w:lang w:val="bg-BG"/>
        </w:rPr>
        <w:t xml:space="preserve"> и получава информация съгласно член 10, взет самостоятелно и във връзка с член 13, гарантиращ правото на ефективни правни средства за защита, и член 14, забраняващ дискриминационно отношение.</w:t>
      </w:r>
    </w:p>
    <w:p w14:paraId="44A5E2D5" w14:textId="0917E5BC" w:rsidR="000B760F" w:rsidRPr="001D11CD" w:rsidRDefault="00FA141B" w:rsidP="000B760F">
      <w:pPr>
        <w:pStyle w:val="JuHHead"/>
        <w:rPr>
          <w:lang w:val="bg-BG"/>
        </w:rPr>
      </w:pPr>
      <w:r w:rsidRPr="001D11CD">
        <w:rPr>
          <w:lang w:val="bg-BG"/>
        </w:rPr>
        <w:t>ФАКТИТЕ</w:t>
      </w:r>
    </w:p>
    <w:p w14:paraId="6BCF163F" w14:textId="2D1E21F7" w:rsidR="00FA141B"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2</w:t>
      </w:r>
      <w:r w:rsidRPr="001D11CD">
        <w:rPr>
          <w:lang w:val="bg-BG"/>
        </w:rPr>
        <w:fldChar w:fldCharType="end"/>
      </w:r>
      <w:r w:rsidRPr="001D11CD">
        <w:rPr>
          <w:lang w:val="bg-BG"/>
        </w:rPr>
        <w:t>.  </w:t>
      </w:r>
      <w:r w:rsidR="000C7FEC" w:rsidRPr="001D11CD">
        <w:rPr>
          <w:lang w:val="bg-BG"/>
        </w:rPr>
        <w:t>Жалбоподателят</w:t>
      </w:r>
      <w:r w:rsidRPr="001D11CD">
        <w:rPr>
          <w:lang w:val="bg-BG"/>
        </w:rPr>
        <w:t xml:space="preserve"> </w:t>
      </w:r>
      <w:r w:rsidR="00FA141B" w:rsidRPr="001D11CD">
        <w:rPr>
          <w:lang w:val="bg-BG"/>
        </w:rPr>
        <w:t>е роден през 1960 г</w:t>
      </w:r>
      <w:r w:rsidR="009746D6" w:rsidRPr="001D11CD">
        <w:rPr>
          <w:lang w:val="bg-BG"/>
        </w:rPr>
        <w:t>одина</w:t>
      </w:r>
      <w:r w:rsidR="00FA141B" w:rsidRPr="001D11CD">
        <w:rPr>
          <w:lang w:val="bg-BG"/>
        </w:rPr>
        <w:t xml:space="preserve"> и живее в София. Първоначално той е представляван от </w:t>
      </w:r>
      <w:r w:rsidR="009746D6" w:rsidRPr="001D11CD">
        <w:rPr>
          <w:lang w:val="bg-BG"/>
        </w:rPr>
        <w:t>г-жа</w:t>
      </w:r>
      <w:r w:rsidR="00FA141B" w:rsidRPr="001D11CD">
        <w:rPr>
          <w:lang w:val="bg-BG"/>
        </w:rPr>
        <w:t xml:space="preserve"> М. Илиева, адвокат</w:t>
      </w:r>
      <w:r w:rsidR="009746D6" w:rsidRPr="001D11CD">
        <w:rPr>
          <w:lang w:val="bg-BG"/>
        </w:rPr>
        <w:t xml:space="preserve"> от</w:t>
      </w:r>
      <w:r w:rsidR="00FA141B" w:rsidRPr="001D11CD">
        <w:rPr>
          <w:lang w:val="bg-BG"/>
        </w:rPr>
        <w:t xml:space="preserve"> София</w:t>
      </w:r>
      <w:r w:rsidR="009746D6" w:rsidRPr="001D11CD">
        <w:rPr>
          <w:lang w:val="bg-BG"/>
        </w:rPr>
        <w:t xml:space="preserve">, </w:t>
      </w:r>
      <w:r w:rsidR="00F20B6A" w:rsidRPr="001D11CD">
        <w:rPr>
          <w:lang w:val="bg-BG"/>
        </w:rPr>
        <w:t>а към момента на разпределяне на делото — в</w:t>
      </w:r>
      <w:r w:rsidR="00B338A9">
        <w:rPr>
          <w:lang w:val="en-US"/>
        </w:rPr>
        <w:t xml:space="preserve"> </w:t>
      </w:r>
      <w:r w:rsidR="00B338A9">
        <w:rPr>
          <w:lang w:val="bg-BG"/>
        </w:rPr>
        <w:t>рамките на дейността на</w:t>
      </w:r>
      <w:r w:rsidR="00F20B6A" w:rsidRPr="001D11CD">
        <w:rPr>
          <w:lang w:val="bg-BG"/>
        </w:rPr>
        <w:t xml:space="preserve"> неправителствената организация </w:t>
      </w:r>
      <w:r w:rsidR="009746D6" w:rsidRPr="001D11CD">
        <w:rPr>
          <w:lang w:val="bg-BG"/>
        </w:rPr>
        <w:t xml:space="preserve">„Български </w:t>
      </w:r>
      <w:r w:rsidR="00393C2A" w:rsidRPr="001D11CD">
        <w:rPr>
          <w:lang w:val="bg-BG"/>
        </w:rPr>
        <w:t>х</w:t>
      </w:r>
      <w:r w:rsidR="009746D6" w:rsidRPr="001D11CD">
        <w:rPr>
          <w:lang w:val="bg-BG"/>
        </w:rPr>
        <w:t>елзинкски комитет“</w:t>
      </w:r>
      <w:r w:rsidR="00FA141B" w:rsidRPr="001D11CD">
        <w:rPr>
          <w:lang w:val="bg-BG"/>
        </w:rPr>
        <w:t xml:space="preserve">, </w:t>
      </w:r>
      <w:r w:rsidR="009746D6" w:rsidRPr="001D11CD">
        <w:rPr>
          <w:lang w:val="bg-BG"/>
        </w:rPr>
        <w:t xml:space="preserve">а </w:t>
      </w:r>
      <w:r w:rsidR="00FA141B" w:rsidRPr="001D11CD">
        <w:rPr>
          <w:lang w:val="bg-BG"/>
        </w:rPr>
        <w:t>след това от председателя</w:t>
      </w:r>
      <w:r w:rsidR="009746D6" w:rsidRPr="001D11CD">
        <w:rPr>
          <w:lang w:val="bg-BG"/>
        </w:rPr>
        <w:t xml:space="preserve"> на </w:t>
      </w:r>
      <w:r w:rsidR="00F20B6A" w:rsidRPr="001D11CD">
        <w:rPr>
          <w:lang w:val="bg-BG"/>
        </w:rPr>
        <w:t>този</w:t>
      </w:r>
      <w:r w:rsidR="009746D6" w:rsidRPr="001D11CD">
        <w:rPr>
          <w:lang w:val="bg-BG"/>
        </w:rPr>
        <w:t xml:space="preserve"> комитет</w:t>
      </w:r>
      <w:r w:rsidR="00FA141B" w:rsidRPr="001D11CD">
        <w:rPr>
          <w:lang w:val="bg-BG"/>
        </w:rPr>
        <w:t xml:space="preserve">, </w:t>
      </w:r>
      <w:r w:rsidR="009746D6" w:rsidRPr="001D11CD">
        <w:rPr>
          <w:lang w:val="bg-BG"/>
        </w:rPr>
        <w:t>г-н</w:t>
      </w:r>
      <w:r w:rsidR="00FA141B" w:rsidRPr="001D11CD">
        <w:rPr>
          <w:lang w:val="bg-BG"/>
        </w:rPr>
        <w:t xml:space="preserve"> К. Кънев, </w:t>
      </w:r>
      <w:r w:rsidR="00A82944" w:rsidRPr="001D11CD">
        <w:rPr>
          <w:lang w:val="bg-BG"/>
        </w:rPr>
        <w:lastRenderedPageBreak/>
        <w:t xml:space="preserve">упълномощен от </w:t>
      </w:r>
      <w:r w:rsidR="00FA141B" w:rsidRPr="001D11CD">
        <w:rPr>
          <w:lang w:val="bg-BG"/>
        </w:rPr>
        <w:t>председателя на пет</w:t>
      </w:r>
      <w:r w:rsidR="00FC5A4C" w:rsidRPr="001D11CD">
        <w:rPr>
          <w:lang w:val="bg-BG"/>
        </w:rPr>
        <w:t xml:space="preserve">о отделение </w:t>
      </w:r>
      <w:r w:rsidR="00FA141B" w:rsidRPr="001D11CD">
        <w:rPr>
          <w:lang w:val="bg-BG"/>
        </w:rPr>
        <w:t>на Съд</w:t>
      </w:r>
      <w:r w:rsidR="00FC5A4C" w:rsidRPr="001D11CD">
        <w:rPr>
          <w:lang w:val="bg-BG"/>
        </w:rPr>
        <w:t xml:space="preserve">а, с бележка </w:t>
      </w:r>
      <w:r w:rsidR="00FA141B" w:rsidRPr="001D11CD">
        <w:rPr>
          <w:lang w:val="bg-BG"/>
        </w:rPr>
        <w:t>от 15 януари 2016</w:t>
      </w:r>
      <w:r w:rsidR="00F20B6A" w:rsidRPr="001D11CD">
        <w:rPr>
          <w:lang w:val="bg-BG"/>
        </w:rPr>
        <w:t> г.</w:t>
      </w:r>
      <w:r w:rsidR="00A82944" w:rsidRPr="001D11CD">
        <w:rPr>
          <w:lang w:val="bg-BG"/>
        </w:rPr>
        <w:t>,</w:t>
      </w:r>
      <w:r w:rsidR="00FA141B" w:rsidRPr="001D11CD">
        <w:rPr>
          <w:lang w:val="bg-BG"/>
        </w:rPr>
        <w:t xml:space="preserve"> съгласно член 36</w:t>
      </w:r>
      <w:r w:rsidR="00F20B6A" w:rsidRPr="001D11CD">
        <w:rPr>
          <w:lang w:val="bg-BG"/>
        </w:rPr>
        <w:t>,</w:t>
      </w:r>
      <w:r w:rsidR="00FA141B" w:rsidRPr="001D11CD">
        <w:rPr>
          <w:lang w:val="bg-BG"/>
        </w:rPr>
        <w:t xml:space="preserve"> § 4 a) </w:t>
      </w:r>
      <w:proofErr w:type="spellStart"/>
      <w:r w:rsidR="00FA141B" w:rsidRPr="001D11CD">
        <w:rPr>
          <w:i/>
          <w:lang w:val="bg-BG"/>
        </w:rPr>
        <w:t>in</w:t>
      </w:r>
      <w:proofErr w:type="spellEnd"/>
      <w:r w:rsidR="00FA141B" w:rsidRPr="001D11CD">
        <w:rPr>
          <w:i/>
          <w:lang w:val="bg-BG"/>
        </w:rPr>
        <w:t xml:space="preserve"> </w:t>
      </w:r>
      <w:proofErr w:type="spellStart"/>
      <w:r w:rsidR="00FA141B" w:rsidRPr="001D11CD">
        <w:rPr>
          <w:i/>
          <w:lang w:val="bg-BG"/>
        </w:rPr>
        <w:t>fine</w:t>
      </w:r>
      <w:proofErr w:type="spellEnd"/>
      <w:r w:rsidR="00FA141B" w:rsidRPr="001D11CD">
        <w:rPr>
          <w:lang w:val="bg-BG"/>
        </w:rPr>
        <w:t xml:space="preserve"> от </w:t>
      </w:r>
      <w:r w:rsidR="00B338A9">
        <w:rPr>
          <w:lang w:val="bg-BG"/>
        </w:rPr>
        <w:t>П</w:t>
      </w:r>
      <w:r w:rsidR="00B338A9" w:rsidRPr="001D11CD">
        <w:rPr>
          <w:lang w:val="bg-BG"/>
        </w:rPr>
        <w:t xml:space="preserve">равилника </w:t>
      </w:r>
      <w:r w:rsidR="00FA141B" w:rsidRPr="001D11CD">
        <w:rPr>
          <w:lang w:val="bg-BG"/>
        </w:rPr>
        <w:t>на Съд</w:t>
      </w:r>
      <w:r w:rsidR="00A82944" w:rsidRPr="001D11CD">
        <w:rPr>
          <w:lang w:val="bg-BG"/>
        </w:rPr>
        <w:t>а</w:t>
      </w:r>
      <w:r w:rsidR="00FA141B" w:rsidRPr="001D11CD">
        <w:rPr>
          <w:lang w:val="bg-BG"/>
        </w:rPr>
        <w:t xml:space="preserve"> („</w:t>
      </w:r>
      <w:r w:rsidR="00A82944" w:rsidRPr="001D11CD">
        <w:rPr>
          <w:lang w:val="bg-BG"/>
        </w:rPr>
        <w:t>П</w:t>
      </w:r>
      <w:r w:rsidR="00FA141B" w:rsidRPr="001D11CD">
        <w:rPr>
          <w:lang w:val="bg-BG"/>
        </w:rPr>
        <w:t>равилникът“)</w:t>
      </w:r>
      <w:r w:rsidR="00A82944" w:rsidRPr="001D11CD">
        <w:rPr>
          <w:lang w:val="bg-BG"/>
        </w:rPr>
        <w:t>,</w:t>
      </w:r>
      <w:r w:rsidR="00FA141B" w:rsidRPr="001D11CD">
        <w:rPr>
          <w:lang w:val="bg-BG"/>
        </w:rPr>
        <w:t xml:space="preserve"> да </w:t>
      </w:r>
      <w:r w:rsidR="00A82944" w:rsidRPr="001D11CD">
        <w:rPr>
          <w:lang w:val="bg-BG"/>
        </w:rPr>
        <w:t>представлява жалбоподателите по всички висящи и бъдещи дела, по които той действа или ще действа лично като представител</w:t>
      </w:r>
      <w:r w:rsidR="00FA141B" w:rsidRPr="001D11CD">
        <w:rPr>
          <w:lang w:val="bg-BG"/>
        </w:rPr>
        <w:t>.</w:t>
      </w:r>
    </w:p>
    <w:p w14:paraId="1A0B8BE6" w14:textId="2BB4347D"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3</w:t>
      </w:r>
      <w:r w:rsidRPr="001D11CD">
        <w:rPr>
          <w:lang w:val="bg-BG"/>
        </w:rPr>
        <w:fldChar w:fldCharType="end"/>
      </w:r>
      <w:r w:rsidRPr="001D11CD">
        <w:rPr>
          <w:lang w:val="bg-BG"/>
        </w:rPr>
        <w:t>.  </w:t>
      </w:r>
      <w:r w:rsidR="00156A3C" w:rsidRPr="001D11CD">
        <w:rPr>
          <w:lang w:val="bg-BG"/>
        </w:rPr>
        <w:t>Правителство</w:t>
      </w:r>
      <w:r w:rsidR="002B3117" w:rsidRPr="001D11CD">
        <w:rPr>
          <w:lang w:val="bg-BG"/>
        </w:rPr>
        <w:t>то се</w:t>
      </w:r>
      <w:r w:rsidRPr="001D11CD">
        <w:rPr>
          <w:lang w:val="bg-BG"/>
        </w:rPr>
        <w:t xml:space="preserve"> </w:t>
      </w:r>
      <w:r w:rsidR="00156A3C" w:rsidRPr="001D11CD">
        <w:rPr>
          <w:lang w:val="bg-BG"/>
        </w:rPr>
        <w:t>представлява от</w:t>
      </w:r>
      <w:r w:rsidRPr="001D11CD">
        <w:rPr>
          <w:lang w:val="bg-BG"/>
        </w:rPr>
        <w:t xml:space="preserve"> </w:t>
      </w:r>
      <w:r w:rsidR="00FC639A" w:rsidRPr="001D11CD">
        <w:rPr>
          <w:lang w:val="bg-BG"/>
        </w:rPr>
        <w:t>свои</w:t>
      </w:r>
      <w:r w:rsidR="002B3117" w:rsidRPr="001D11CD">
        <w:rPr>
          <w:lang w:val="bg-BG"/>
        </w:rPr>
        <w:t xml:space="preserve">те </w:t>
      </w:r>
      <w:r w:rsidR="00B338A9">
        <w:rPr>
          <w:lang w:val="bg-BG"/>
        </w:rPr>
        <w:t>агенти</w:t>
      </w:r>
      <w:r w:rsidR="00B338A9" w:rsidRPr="001D11CD">
        <w:rPr>
          <w:lang w:val="bg-BG"/>
        </w:rPr>
        <w:t xml:space="preserve"> </w:t>
      </w:r>
      <w:r w:rsidR="002B3117" w:rsidRPr="001D11CD">
        <w:rPr>
          <w:lang w:val="bg-BG"/>
        </w:rPr>
        <w:t>г-жа М. Илчева и г-жа М. Коцева о</w:t>
      </w:r>
      <w:r w:rsidR="001A14B1" w:rsidRPr="001D11CD">
        <w:rPr>
          <w:lang w:val="bg-BG"/>
        </w:rPr>
        <w:t>т Министерство на правосъдието</w:t>
      </w:r>
      <w:r w:rsidRPr="001D11CD">
        <w:rPr>
          <w:lang w:val="bg-BG"/>
        </w:rPr>
        <w:t>.</w:t>
      </w:r>
    </w:p>
    <w:p w14:paraId="2B0B3DCA" w14:textId="39E9DAE0" w:rsidR="00C7773E" w:rsidRPr="001D11CD" w:rsidRDefault="000B760F" w:rsidP="00C7773E">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w:t>
      </w:r>
      <w:r w:rsidRPr="001D11CD">
        <w:rPr>
          <w:lang w:val="bg-BG"/>
        </w:rPr>
        <w:fldChar w:fldCharType="end"/>
      </w:r>
      <w:r w:rsidRPr="001D11CD">
        <w:rPr>
          <w:lang w:val="bg-BG"/>
        </w:rPr>
        <w:t>.  </w:t>
      </w:r>
      <w:r w:rsidR="00B338A9">
        <w:rPr>
          <w:lang w:val="bg-BG"/>
        </w:rPr>
        <w:t>В периода, засегнат от жалбата,</w:t>
      </w:r>
      <w:r w:rsidR="00F03374" w:rsidRPr="001D11CD">
        <w:rPr>
          <w:lang w:val="bg-BG"/>
        </w:rPr>
        <w:t xml:space="preserve"> жалбоподателят, български политик от турски произход, </w:t>
      </w:r>
      <w:r w:rsidR="00697BD2" w:rsidRPr="001D11CD">
        <w:rPr>
          <w:lang w:val="bg-BG"/>
        </w:rPr>
        <w:t xml:space="preserve">е </w:t>
      </w:r>
      <w:r w:rsidR="00F03374" w:rsidRPr="001D11CD">
        <w:rPr>
          <w:lang w:val="bg-BG"/>
        </w:rPr>
        <w:t>председател</w:t>
      </w:r>
      <w:r w:rsidR="00697BD2" w:rsidRPr="001D11CD">
        <w:rPr>
          <w:lang w:val="bg-BG"/>
        </w:rPr>
        <w:t xml:space="preserve"> на</w:t>
      </w:r>
      <w:r w:rsidR="00F03374" w:rsidRPr="001D11CD">
        <w:rPr>
          <w:lang w:val="bg-BG"/>
        </w:rPr>
        <w:t xml:space="preserve"> Движението за права и свободи, партия, която тогава </w:t>
      </w:r>
      <w:r w:rsidR="00F20B6A" w:rsidRPr="001D11CD">
        <w:rPr>
          <w:lang w:val="bg-BG"/>
        </w:rPr>
        <w:t>има</w:t>
      </w:r>
      <w:r w:rsidR="00F03374" w:rsidRPr="001D11CD">
        <w:rPr>
          <w:lang w:val="bg-BG"/>
        </w:rPr>
        <w:t xml:space="preserve"> тридесет и шест </w:t>
      </w:r>
      <w:r w:rsidR="00697BD2" w:rsidRPr="001D11CD">
        <w:rPr>
          <w:lang w:val="bg-BG"/>
        </w:rPr>
        <w:t>мандата</w:t>
      </w:r>
      <w:r w:rsidR="00F03374" w:rsidRPr="001D11CD">
        <w:rPr>
          <w:lang w:val="bg-BG"/>
        </w:rPr>
        <w:t xml:space="preserve"> в българското Народно събрание и традиционно </w:t>
      </w:r>
      <w:r w:rsidR="00697BD2" w:rsidRPr="001D11CD">
        <w:rPr>
          <w:lang w:val="bg-BG"/>
        </w:rPr>
        <w:t xml:space="preserve">се </w:t>
      </w:r>
      <w:r w:rsidR="00F03374" w:rsidRPr="001D11CD">
        <w:rPr>
          <w:lang w:val="bg-BG"/>
        </w:rPr>
        <w:t xml:space="preserve">подкрепя от </w:t>
      </w:r>
      <w:r w:rsidR="00B338A9">
        <w:rPr>
          <w:lang w:val="bg-BG"/>
        </w:rPr>
        <w:t>избирателите от</w:t>
      </w:r>
      <w:r w:rsidR="00F03374" w:rsidRPr="001D11CD">
        <w:rPr>
          <w:lang w:val="bg-BG"/>
        </w:rPr>
        <w:t xml:space="preserve"> </w:t>
      </w:r>
      <w:r w:rsidR="00697BD2" w:rsidRPr="001D11CD">
        <w:rPr>
          <w:lang w:val="bg-BG"/>
        </w:rPr>
        <w:t xml:space="preserve">турското </w:t>
      </w:r>
      <w:r w:rsidR="00F03374" w:rsidRPr="001D11CD">
        <w:rPr>
          <w:lang w:val="bg-BG"/>
        </w:rPr>
        <w:t>малцинство</w:t>
      </w:r>
      <w:r w:rsidR="00697BD2" w:rsidRPr="001D11CD">
        <w:rPr>
          <w:lang w:val="bg-BG"/>
        </w:rPr>
        <w:t xml:space="preserve"> в</w:t>
      </w:r>
      <w:r w:rsidR="00F03374" w:rsidRPr="001D11CD">
        <w:rPr>
          <w:lang w:val="bg-BG"/>
        </w:rPr>
        <w:t xml:space="preserve"> България.</w:t>
      </w:r>
    </w:p>
    <w:p w14:paraId="1595D5F7" w14:textId="4B24E6E9" w:rsidR="00C7773E" w:rsidRPr="001D11CD" w:rsidRDefault="00A25623" w:rsidP="00C7773E">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5</w:t>
      </w:r>
      <w:r w:rsidRPr="001D11CD">
        <w:rPr>
          <w:lang w:val="bg-BG"/>
        </w:rPr>
        <w:fldChar w:fldCharType="end"/>
      </w:r>
      <w:r w:rsidR="000B760F" w:rsidRPr="001D11CD">
        <w:rPr>
          <w:lang w:val="bg-BG"/>
        </w:rPr>
        <w:t>.  </w:t>
      </w:r>
      <w:r w:rsidR="00697BD2" w:rsidRPr="001D11CD">
        <w:rPr>
          <w:lang w:val="bg-BG"/>
        </w:rPr>
        <w:t>С</w:t>
      </w:r>
      <w:r w:rsidR="000B760F" w:rsidRPr="001D11CD">
        <w:rPr>
          <w:lang w:val="bg-BG"/>
        </w:rPr>
        <w:t xml:space="preserve"> </w:t>
      </w:r>
      <w:r w:rsidR="00B338A9">
        <w:rPr>
          <w:lang w:val="bg-BG"/>
        </w:rPr>
        <w:t>постановление</w:t>
      </w:r>
      <w:r w:rsidR="00B338A9" w:rsidRPr="001D11CD">
        <w:rPr>
          <w:lang w:val="bg-BG"/>
        </w:rPr>
        <w:t xml:space="preserve"> </w:t>
      </w:r>
      <w:r w:rsidR="000B760F" w:rsidRPr="001D11CD">
        <w:rPr>
          <w:lang w:val="bg-BG"/>
        </w:rPr>
        <w:t>(</w:t>
      </w:r>
      <w:r w:rsidR="000B760F" w:rsidRPr="001D11CD">
        <w:rPr>
          <w:i/>
          <w:lang w:val="bg-BG"/>
        </w:rPr>
        <w:t>наказателно постановление</w:t>
      </w:r>
      <w:r w:rsidR="000B760F" w:rsidRPr="001D11CD">
        <w:rPr>
          <w:lang w:val="bg-BG"/>
        </w:rPr>
        <w:t xml:space="preserve">) </w:t>
      </w:r>
      <w:r w:rsidR="00697BD2" w:rsidRPr="001D11CD">
        <w:rPr>
          <w:lang w:val="bg-BG"/>
        </w:rPr>
        <w:t>от</w:t>
      </w:r>
      <w:r w:rsidR="000B760F" w:rsidRPr="001D11CD">
        <w:rPr>
          <w:lang w:val="bg-BG"/>
        </w:rPr>
        <w:t xml:space="preserve"> 17 </w:t>
      </w:r>
      <w:r w:rsidR="00697BD2" w:rsidRPr="001D11CD">
        <w:rPr>
          <w:lang w:val="bg-BG"/>
        </w:rPr>
        <w:t>май</w:t>
      </w:r>
      <w:r w:rsidR="000B760F" w:rsidRPr="001D11CD">
        <w:rPr>
          <w:lang w:val="bg-BG"/>
        </w:rPr>
        <w:t xml:space="preserve"> 2013</w:t>
      </w:r>
      <w:r w:rsidR="00F20B6A" w:rsidRPr="001D11CD">
        <w:rPr>
          <w:lang w:val="bg-BG"/>
        </w:rPr>
        <w:t> г.</w:t>
      </w:r>
      <w:r w:rsidR="00697BD2" w:rsidRPr="001D11CD">
        <w:rPr>
          <w:lang w:val="bg-BG"/>
        </w:rPr>
        <w:t>, основано на данни, събрани от местната избирателна комисия</w:t>
      </w:r>
      <w:r w:rsidR="000B760F" w:rsidRPr="001D11CD">
        <w:rPr>
          <w:lang w:val="bg-BG"/>
        </w:rPr>
        <w:t xml:space="preserve">, </w:t>
      </w:r>
      <w:r w:rsidR="00697BD2" w:rsidRPr="001D11CD">
        <w:rPr>
          <w:lang w:val="bg-BG"/>
        </w:rPr>
        <w:t>областният управител на област Сливен констатира, че</w:t>
      </w:r>
      <w:r w:rsidR="000B760F" w:rsidRPr="001D11CD">
        <w:rPr>
          <w:lang w:val="bg-BG"/>
        </w:rPr>
        <w:t xml:space="preserve"> </w:t>
      </w:r>
      <w:r w:rsidR="000C7FEC" w:rsidRPr="001D11CD">
        <w:rPr>
          <w:lang w:val="bg-BG"/>
        </w:rPr>
        <w:t>жалбоподателят</w:t>
      </w:r>
      <w:r w:rsidR="000B760F" w:rsidRPr="001D11CD">
        <w:rPr>
          <w:lang w:val="bg-BG"/>
        </w:rPr>
        <w:t xml:space="preserve"> </w:t>
      </w:r>
      <w:r w:rsidR="00697BD2" w:rsidRPr="001D11CD">
        <w:rPr>
          <w:lang w:val="bg-BG"/>
        </w:rPr>
        <w:t xml:space="preserve">е нарушил разпоредбата на </w:t>
      </w:r>
      <w:r w:rsidR="001A14B1" w:rsidRPr="001D11CD">
        <w:rPr>
          <w:lang w:val="bg-BG"/>
        </w:rPr>
        <w:t>член</w:t>
      </w:r>
      <w:r w:rsidR="000B760F" w:rsidRPr="001D11CD">
        <w:rPr>
          <w:lang w:val="bg-BG"/>
        </w:rPr>
        <w:t xml:space="preserve"> 133, </w:t>
      </w:r>
      <w:r w:rsidR="00697BD2" w:rsidRPr="001D11CD">
        <w:rPr>
          <w:lang w:val="bg-BG"/>
        </w:rPr>
        <w:t>алинея</w:t>
      </w:r>
      <w:r w:rsidR="000B760F" w:rsidRPr="001D11CD">
        <w:rPr>
          <w:lang w:val="bg-BG"/>
        </w:rPr>
        <w:t xml:space="preserve"> 2 </w:t>
      </w:r>
      <w:r w:rsidR="00697BD2" w:rsidRPr="001D11CD">
        <w:rPr>
          <w:lang w:val="bg-BG"/>
        </w:rPr>
        <w:t xml:space="preserve">от </w:t>
      </w:r>
      <w:r w:rsidR="00C7773E" w:rsidRPr="001D11CD">
        <w:rPr>
          <w:lang w:val="bg-BG"/>
        </w:rPr>
        <w:t xml:space="preserve">Изборния кодекс, като се е изразявал на </w:t>
      </w:r>
      <w:r w:rsidR="0007409E" w:rsidRPr="001D11CD">
        <w:rPr>
          <w:bCs/>
          <w:lang w:val="bg-BG"/>
        </w:rPr>
        <w:t>турски</w:t>
      </w:r>
      <w:r w:rsidR="000B760F" w:rsidRPr="001D11CD">
        <w:rPr>
          <w:bCs/>
          <w:lang w:val="bg-BG"/>
        </w:rPr>
        <w:t xml:space="preserve"> </w:t>
      </w:r>
      <w:r w:rsidR="00C7773E" w:rsidRPr="001D11CD">
        <w:rPr>
          <w:bCs/>
          <w:lang w:val="bg-BG"/>
        </w:rPr>
        <w:t>език на събитие, организирано на 5 май 2013</w:t>
      </w:r>
      <w:r w:rsidR="00F20B6A" w:rsidRPr="001D11CD">
        <w:rPr>
          <w:bCs/>
          <w:lang w:val="bg-BG"/>
        </w:rPr>
        <w:t> г.</w:t>
      </w:r>
      <w:r w:rsidR="00C7773E" w:rsidRPr="001D11CD">
        <w:rPr>
          <w:bCs/>
          <w:lang w:val="bg-BG"/>
        </w:rPr>
        <w:t xml:space="preserve"> в рамките на водената от него кампания за парламентарните избори. Става въпрос за среща на открито, организирана край село Ябланово. Според материалите по делото </w:t>
      </w:r>
      <w:r w:rsidR="00805DF5" w:rsidRPr="001D11CD">
        <w:rPr>
          <w:bCs/>
          <w:lang w:val="bg-BG"/>
        </w:rPr>
        <w:t xml:space="preserve">там </w:t>
      </w:r>
      <w:r w:rsidR="00C7773E" w:rsidRPr="001D11CD">
        <w:rPr>
          <w:bCs/>
          <w:lang w:val="bg-BG"/>
        </w:rPr>
        <w:t xml:space="preserve">жалбоподателят е говорил на турски в продължение на седем минути, а други шестима души </w:t>
      </w:r>
      <w:r w:rsidR="00F20B6A" w:rsidRPr="001D11CD">
        <w:rPr>
          <w:bCs/>
          <w:lang w:val="bg-BG"/>
        </w:rPr>
        <w:t>—</w:t>
      </w:r>
      <w:r w:rsidR="00C7773E" w:rsidRPr="001D11CD">
        <w:rPr>
          <w:bCs/>
          <w:lang w:val="bg-BG"/>
        </w:rPr>
        <w:t xml:space="preserve"> народни </w:t>
      </w:r>
      <w:r w:rsidR="00805DF5">
        <w:rPr>
          <w:bCs/>
          <w:lang w:val="bg-BG"/>
        </w:rPr>
        <w:t>представители</w:t>
      </w:r>
      <w:r w:rsidR="00805DF5" w:rsidRPr="001D11CD">
        <w:rPr>
          <w:bCs/>
          <w:lang w:val="bg-BG"/>
        </w:rPr>
        <w:t xml:space="preserve"> </w:t>
      </w:r>
      <w:r w:rsidR="00C7773E" w:rsidRPr="001D11CD">
        <w:rPr>
          <w:bCs/>
          <w:lang w:val="bg-BG"/>
        </w:rPr>
        <w:t xml:space="preserve">или членове на ДПС </w:t>
      </w:r>
      <w:r w:rsidR="00F20B6A" w:rsidRPr="001D11CD">
        <w:rPr>
          <w:bCs/>
          <w:lang w:val="bg-BG"/>
        </w:rPr>
        <w:t>—</w:t>
      </w:r>
      <w:r w:rsidR="00C7773E" w:rsidRPr="001D11CD">
        <w:rPr>
          <w:bCs/>
          <w:lang w:val="bg-BG"/>
        </w:rPr>
        <w:t xml:space="preserve"> също са държали речи, някои на турски, други на български, а трети</w:t>
      </w:r>
      <w:r w:rsidR="00C7773E" w:rsidRPr="001D11CD">
        <w:rPr>
          <w:b/>
          <w:bCs/>
          <w:lang w:val="bg-BG"/>
        </w:rPr>
        <w:t xml:space="preserve"> </w:t>
      </w:r>
      <w:r w:rsidR="00C7773E" w:rsidRPr="001D11CD">
        <w:rPr>
          <w:bCs/>
          <w:lang w:val="bg-BG"/>
        </w:rPr>
        <w:t>и на двата езика.</w:t>
      </w:r>
    </w:p>
    <w:p w14:paraId="628B1F18" w14:textId="61BB4BF7" w:rsidR="00C7773E" w:rsidRPr="001D11CD" w:rsidRDefault="000B760F" w:rsidP="000B760F">
      <w:pPr>
        <w:pStyle w:val="JuPara"/>
        <w:rPr>
          <w:bCs/>
          <w:lang w:val="bg-BG"/>
        </w:rPr>
      </w:pPr>
      <w:r w:rsidRPr="001D11CD">
        <w:rPr>
          <w:bCs/>
          <w:lang w:val="bg-BG"/>
        </w:rPr>
        <w:fldChar w:fldCharType="begin"/>
      </w:r>
      <w:r w:rsidRPr="001D11CD">
        <w:rPr>
          <w:bCs/>
          <w:lang w:val="bg-BG"/>
        </w:rPr>
        <w:instrText xml:space="preserve"> SEQ level0 \*arabic \* MERGEFORMAT </w:instrText>
      </w:r>
      <w:r w:rsidRPr="001D11CD">
        <w:rPr>
          <w:bCs/>
          <w:lang w:val="bg-BG"/>
        </w:rPr>
        <w:fldChar w:fldCharType="separate"/>
      </w:r>
      <w:r w:rsidRPr="001D11CD">
        <w:rPr>
          <w:bCs/>
          <w:lang w:val="bg-BG"/>
        </w:rPr>
        <w:t>6</w:t>
      </w:r>
      <w:r w:rsidRPr="001D11CD">
        <w:rPr>
          <w:bCs/>
          <w:lang w:val="bg-BG"/>
        </w:rPr>
        <w:fldChar w:fldCharType="end"/>
      </w:r>
      <w:r w:rsidRPr="001D11CD">
        <w:rPr>
          <w:bCs/>
          <w:lang w:val="bg-BG"/>
        </w:rPr>
        <w:t>.  </w:t>
      </w:r>
      <w:r w:rsidR="00C7773E" w:rsidRPr="001D11CD">
        <w:rPr>
          <w:bCs/>
          <w:lang w:val="bg-BG"/>
        </w:rPr>
        <w:t xml:space="preserve">Като отбелязва, че </w:t>
      </w:r>
      <w:r w:rsidR="009415A9" w:rsidRPr="001D11CD">
        <w:rPr>
          <w:bCs/>
          <w:lang w:val="bg-BG"/>
        </w:rPr>
        <w:t xml:space="preserve">въпросното </w:t>
      </w:r>
      <w:r w:rsidR="00C7773E" w:rsidRPr="001D11CD">
        <w:rPr>
          <w:bCs/>
          <w:lang w:val="bg-BG"/>
        </w:rPr>
        <w:t>нарушение</w:t>
      </w:r>
      <w:r w:rsidR="00FC639A" w:rsidRPr="001D11CD">
        <w:rPr>
          <w:bCs/>
          <w:lang w:val="bg-BG"/>
        </w:rPr>
        <w:t xml:space="preserve"> се явява значителна опасност за обществения ред</w:t>
      </w:r>
      <w:r w:rsidR="00C7773E" w:rsidRPr="001D11CD">
        <w:rPr>
          <w:bCs/>
          <w:lang w:val="bg-BG"/>
        </w:rPr>
        <w:t>, тъй като извършителят му е председател на политическа партия, областният управител нал</w:t>
      </w:r>
      <w:r w:rsidR="009415A9" w:rsidRPr="001D11CD">
        <w:rPr>
          <w:bCs/>
          <w:lang w:val="bg-BG"/>
        </w:rPr>
        <w:t>ага</w:t>
      </w:r>
      <w:r w:rsidR="00C7773E" w:rsidRPr="001D11CD">
        <w:rPr>
          <w:bCs/>
          <w:lang w:val="bg-BG"/>
        </w:rPr>
        <w:t xml:space="preserve"> на жалбоподателя </w:t>
      </w:r>
      <w:r w:rsidR="00FC639A" w:rsidRPr="001D11CD">
        <w:rPr>
          <w:bCs/>
          <w:lang w:val="bg-BG"/>
        </w:rPr>
        <w:t>административно наказание</w:t>
      </w:r>
      <w:r w:rsidR="00C7773E" w:rsidRPr="001D11CD">
        <w:rPr>
          <w:bCs/>
          <w:lang w:val="bg-BG"/>
        </w:rPr>
        <w:t xml:space="preserve"> </w:t>
      </w:r>
      <w:r w:rsidR="0087491D" w:rsidRPr="001D11CD">
        <w:rPr>
          <w:bCs/>
          <w:lang w:val="bg-BG"/>
        </w:rPr>
        <w:t>глоба, ка</w:t>
      </w:r>
      <w:r w:rsidR="009415A9" w:rsidRPr="001D11CD">
        <w:rPr>
          <w:bCs/>
          <w:lang w:val="bg-BG"/>
        </w:rPr>
        <w:t xml:space="preserve">то </w:t>
      </w:r>
      <w:r w:rsidR="0087491D" w:rsidRPr="001D11CD">
        <w:rPr>
          <w:bCs/>
          <w:lang w:val="bg-BG"/>
        </w:rPr>
        <w:t xml:space="preserve">я </w:t>
      </w:r>
      <w:r w:rsidR="009415A9" w:rsidRPr="001D11CD">
        <w:rPr>
          <w:bCs/>
          <w:lang w:val="bg-BG"/>
        </w:rPr>
        <w:t>определя</w:t>
      </w:r>
      <w:r w:rsidR="00C7773E" w:rsidRPr="001D11CD">
        <w:rPr>
          <w:bCs/>
          <w:lang w:val="bg-BG"/>
        </w:rPr>
        <w:t xml:space="preserve"> </w:t>
      </w:r>
      <w:r w:rsidR="009415A9" w:rsidRPr="001D11CD">
        <w:rPr>
          <w:bCs/>
          <w:lang w:val="bg-BG"/>
        </w:rPr>
        <w:t xml:space="preserve">в </w:t>
      </w:r>
      <w:r w:rsidR="00C7773E" w:rsidRPr="001D11CD">
        <w:rPr>
          <w:bCs/>
          <w:lang w:val="bg-BG"/>
        </w:rPr>
        <w:t>максималн</w:t>
      </w:r>
      <w:r w:rsidR="009415A9" w:rsidRPr="001D11CD">
        <w:rPr>
          <w:bCs/>
          <w:lang w:val="bg-BG"/>
        </w:rPr>
        <w:t>о предвидения по закон размер в т</w:t>
      </w:r>
      <w:r w:rsidR="00805DF5">
        <w:rPr>
          <w:bCs/>
          <w:lang w:val="bg-BG"/>
        </w:rPr>
        <w:t>акива случаи</w:t>
      </w:r>
      <w:r w:rsidR="00C7773E" w:rsidRPr="001D11CD">
        <w:rPr>
          <w:bCs/>
          <w:lang w:val="bg-BG"/>
        </w:rPr>
        <w:t>, а именно 2000</w:t>
      </w:r>
      <w:r w:rsidR="00F20B6A" w:rsidRPr="001D11CD">
        <w:rPr>
          <w:bCs/>
          <w:lang w:val="bg-BG"/>
        </w:rPr>
        <w:t> </w:t>
      </w:r>
      <w:r w:rsidR="00C7773E" w:rsidRPr="001D11CD">
        <w:rPr>
          <w:bCs/>
          <w:lang w:val="bg-BG"/>
        </w:rPr>
        <w:t>лева (приблизително 1000</w:t>
      </w:r>
      <w:r w:rsidR="00F20B6A" w:rsidRPr="001D11CD">
        <w:rPr>
          <w:bCs/>
          <w:lang w:val="bg-BG"/>
        </w:rPr>
        <w:t> </w:t>
      </w:r>
      <w:r w:rsidR="00C7773E" w:rsidRPr="001D11CD">
        <w:rPr>
          <w:bCs/>
          <w:lang w:val="bg-BG"/>
        </w:rPr>
        <w:t>евро).</w:t>
      </w:r>
    </w:p>
    <w:bookmarkStart w:id="1" w:name="Para7"/>
    <w:p w14:paraId="6D795777" w14:textId="5A63DFBF" w:rsidR="009415A9" w:rsidRPr="001D11CD" w:rsidRDefault="000B760F" w:rsidP="000B760F">
      <w:pPr>
        <w:pStyle w:val="JuPara"/>
        <w:rPr>
          <w:bCs/>
          <w:lang w:val="bg-BG"/>
        </w:rPr>
      </w:pPr>
      <w:r w:rsidRPr="001D11CD">
        <w:rPr>
          <w:bCs/>
          <w:lang w:val="bg-BG"/>
        </w:rPr>
        <w:fldChar w:fldCharType="begin"/>
      </w:r>
      <w:r w:rsidRPr="001D11CD">
        <w:rPr>
          <w:bCs/>
          <w:lang w:val="bg-BG"/>
        </w:rPr>
        <w:instrText xml:space="preserve"> SEQ level0 \*arabic \* MERGEFORMAT </w:instrText>
      </w:r>
      <w:r w:rsidRPr="001D11CD">
        <w:rPr>
          <w:bCs/>
          <w:lang w:val="bg-BG"/>
        </w:rPr>
        <w:fldChar w:fldCharType="separate"/>
      </w:r>
      <w:r w:rsidRPr="001D11CD">
        <w:rPr>
          <w:bCs/>
          <w:lang w:val="bg-BG"/>
        </w:rPr>
        <w:t>7</w:t>
      </w:r>
      <w:r w:rsidRPr="001D11CD">
        <w:rPr>
          <w:bCs/>
          <w:lang w:val="bg-BG"/>
        </w:rPr>
        <w:fldChar w:fldCharType="end"/>
      </w:r>
      <w:bookmarkEnd w:id="1"/>
      <w:r w:rsidRPr="001D11CD">
        <w:rPr>
          <w:bCs/>
          <w:lang w:val="bg-BG"/>
        </w:rPr>
        <w:t>.  </w:t>
      </w:r>
      <w:r w:rsidR="009415A9" w:rsidRPr="001D11CD">
        <w:rPr>
          <w:bCs/>
          <w:lang w:val="bg-BG"/>
        </w:rPr>
        <w:t>На 20 май 2013</w:t>
      </w:r>
      <w:r w:rsidR="00F20B6A" w:rsidRPr="001D11CD">
        <w:rPr>
          <w:bCs/>
          <w:lang w:val="bg-BG"/>
        </w:rPr>
        <w:t> г.</w:t>
      </w:r>
      <w:r w:rsidR="009415A9" w:rsidRPr="001D11CD">
        <w:rPr>
          <w:bCs/>
          <w:lang w:val="bg-BG"/>
        </w:rPr>
        <w:t xml:space="preserve"> жалбоподателят обжалва решение</w:t>
      </w:r>
      <w:r w:rsidR="00AF3CA1" w:rsidRPr="001D11CD">
        <w:rPr>
          <w:bCs/>
          <w:lang w:val="bg-BG"/>
        </w:rPr>
        <w:t>то пред</w:t>
      </w:r>
      <w:r w:rsidR="009415A9" w:rsidRPr="001D11CD">
        <w:rPr>
          <w:bCs/>
          <w:lang w:val="bg-BG"/>
        </w:rPr>
        <w:t xml:space="preserve"> район</w:t>
      </w:r>
      <w:r w:rsidR="002B6804" w:rsidRPr="001D11CD">
        <w:rPr>
          <w:bCs/>
          <w:lang w:val="bg-BG"/>
        </w:rPr>
        <w:t xml:space="preserve">ния </w:t>
      </w:r>
      <w:r w:rsidR="009415A9" w:rsidRPr="001D11CD">
        <w:rPr>
          <w:bCs/>
          <w:lang w:val="bg-BG"/>
        </w:rPr>
        <w:t>съд</w:t>
      </w:r>
      <w:r w:rsidR="002B6804" w:rsidRPr="001D11CD">
        <w:rPr>
          <w:bCs/>
          <w:lang w:val="bg-BG"/>
        </w:rPr>
        <w:t xml:space="preserve"> в Котел</w:t>
      </w:r>
      <w:r w:rsidR="009415A9" w:rsidRPr="001D11CD">
        <w:rPr>
          <w:bCs/>
          <w:lang w:val="bg-BG"/>
        </w:rPr>
        <w:t xml:space="preserve">. Той </w:t>
      </w:r>
      <w:r w:rsidR="00D24EC8">
        <w:rPr>
          <w:bCs/>
          <w:lang w:val="bg-BG"/>
        </w:rPr>
        <w:t>посочва</w:t>
      </w:r>
      <w:r w:rsidR="009415A9" w:rsidRPr="001D11CD">
        <w:rPr>
          <w:bCs/>
          <w:lang w:val="bg-BG"/>
        </w:rPr>
        <w:t xml:space="preserve">, че се е обърнал към </w:t>
      </w:r>
      <w:r w:rsidR="0087491D" w:rsidRPr="001D11CD">
        <w:rPr>
          <w:bCs/>
          <w:lang w:val="bg-BG"/>
        </w:rPr>
        <w:t>присъстващите</w:t>
      </w:r>
      <w:r w:rsidR="009415A9" w:rsidRPr="001D11CD">
        <w:rPr>
          <w:bCs/>
          <w:lang w:val="bg-BG"/>
        </w:rPr>
        <w:t xml:space="preserve"> на </w:t>
      </w:r>
      <w:r w:rsidR="00F20B6A" w:rsidRPr="001D11CD">
        <w:rPr>
          <w:bCs/>
          <w:lang w:val="bg-BG"/>
        </w:rPr>
        <w:t>турски език</w:t>
      </w:r>
      <w:r w:rsidR="009415A9" w:rsidRPr="001D11CD">
        <w:rPr>
          <w:bCs/>
          <w:lang w:val="bg-BG"/>
        </w:rPr>
        <w:t>, който е не само негов майчин</w:t>
      </w:r>
      <w:r w:rsidR="001919A1" w:rsidRPr="001D11CD">
        <w:rPr>
          <w:bCs/>
          <w:lang w:val="bg-BG"/>
        </w:rPr>
        <w:t xml:space="preserve"> език</w:t>
      </w:r>
      <w:r w:rsidR="009415A9" w:rsidRPr="001D11CD">
        <w:rPr>
          <w:bCs/>
          <w:lang w:val="bg-BG"/>
        </w:rPr>
        <w:t>, но и майчин език на негови</w:t>
      </w:r>
      <w:r w:rsidR="001919A1" w:rsidRPr="001D11CD">
        <w:rPr>
          <w:bCs/>
          <w:lang w:val="bg-BG"/>
        </w:rPr>
        <w:t>те избиратели. Д</w:t>
      </w:r>
      <w:r w:rsidR="009415A9" w:rsidRPr="001D11CD">
        <w:rPr>
          <w:bCs/>
          <w:lang w:val="bg-BG"/>
        </w:rPr>
        <w:t>опъл</w:t>
      </w:r>
      <w:r w:rsidR="001919A1" w:rsidRPr="001D11CD">
        <w:rPr>
          <w:bCs/>
          <w:lang w:val="bg-BG"/>
        </w:rPr>
        <w:t>ва</w:t>
      </w:r>
      <w:r w:rsidR="009415A9" w:rsidRPr="001D11CD">
        <w:rPr>
          <w:bCs/>
          <w:lang w:val="bg-BG"/>
        </w:rPr>
        <w:t xml:space="preserve">, че </w:t>
      </w:r>
      <w:r w:rsidR="001919A1" w:rsidRPr="001D11CD">
        <w:rPr>
          <w:bCs/>
          <w:lang w:val="bg-BG"/>
        </w:rPr>
        <w:t xml:space="preserve">сред присъстващите е имало </w:t>
      </w:r>
      <w:r w:rsidR="009415A9" w:rsidRPr="001D11CD">
        <w:rPr>
          <w:bCs/>
          <w:lang w:val="bg-BG"/>
        </w:rPr>
        <w:t xml:space="preserve">голям брой възрастни хора, които не могат да усвоят информация, </w:t>
      </w:r>
      <w:r w:rsidR="001919A1" w:rsidRPr="001D11CD">
        <w:rPr>
          <w:bCs/>
          <w:lang w:val="bg-BG"/>
        </w:rPr>
        <w:t xml:space="preserve">поднесена </w:t>
      </w:r>
      <w:r w:rsidR="009415A9" w:rsidRPr="001D11CD">
        <w:rPr>
          <w:bCs/>
          <w:lang w:val="bg-BG"/>
        </w:rPr>
        <w:t>на български</w:t>
      </w:r>
      <w:r w:rsidR="001919A1" w:rsidRPr="001D11CD">
        <w:rPr>
          <w:bCs/>
          <w:lang w:val="bg-BG"/>
        </w:rPr>
        <w:t xml:space="preserve"> така добре</w:t>
      </w:r>
      <w:r w:rsidR="009415A9" w:rsidRPr="001D11CD">
        <w:rPr>
          <w:bCs/>
          <w:lang w:val="bg-BG"/>
        </w:rPr>
        <w:t xml:space="preserve">, както </w:t>
      </w:r>
      <w:r w:rsidR="001919A1" w:rsidRPr="001D11CD">
        <w:rPr>
          <w:bCs/>
          <w:lang w:val="bg-BG"/>
        </w:rPr>
        <w:t xml:space="preserve">ако тя е </w:t>
      </w:r>
      <w:r w:rsidR="009415A9" w:rsidRPr="001D11CD">
        <w:rPr>
          <w:bCs/>
          <w:lang w:val="bg-BG"/>
        </w:rPr>
        <w:t xml:space="preserve">на турски, което компрометира ефективния им достъп до политическото измерение на изборния процес. Той поддържа, че забраната за </w:t>
      </w:r>
      <w:r w:rsidR="001919A1" w:rsidRPr="001D11CD">
        <w:rPr>
          <w:bCs/>
          <w:lang w:val="bg-BG"/>
        </w:rPr>
        <w:t xml:space="preserve">изразяване </w:t>
      </w:r>
      <w:r w:rsidR="009415A9" w:rsidRPr="001D11CD">
        <w:rPr>
          <w:bCs/>
          <w:lang w:val="bg-BG"/>
        </w:rPr>
        <w:t>на малцинствен език противоречи на член</w:t>
      </w:r>
      <w:r w:rsidR="005D43FE" w:rsidRPr="001D11CD">
        <w:rPr>
          <w:bCs/>
          <w:lang w:val="bg-BG"/>
        </w:rPr>
        <w:t> </w:t>
      </w:r>
      <w:r w:rsidR="009415A9" w:rsidRPr="001D11CD">
        <w:rPr>
          <w:bCs/>
          <w:lang w:val="bg-BG"/>
        </w:rPr>
        <w:t>10 от Конвенцията и</w:t>
      </w:r>
      <w:r w:rsidR="00F938CB">
        <w:rPr>
          <w:bCs/>
          <w:lang w:val="bg-BG"/>
        </w:rPr>
        <w:t>,</w:t>
      </w:r>
      <w:r w:rsidR="009415A9" w:rsidRPr="001D11CD">
        <w:rPr>
          <w:bCs/>
          <w:lang w:val="bg-BG"/>
        </w:rPr>
        <w:t xml:space="preserve"> като счита, че член</w:t>
      </w:r>
      <w:r w:rsidR="005D43FE" w:rsidRPr="001D11CD">
        <w:rPr>
          <w:bCs/>
          <w:lang w:val="bg-BG"/>
        </w:rPr>
        <w:t> </w:t>
      </w:r>
      <w:r w:rsidR="009415A9" w:rsidRPr="001D11CD">
        <w:rPr>
          <w:bCs/>
          <w:lang w:val="bg-BG"/>
        </w:rPr>
        <w:t xml:space="preserve">133, </w:t>
      </w:r>
      <w:r w:rsidR="001919A1" w:rsidRPr="001D11CD">
        <w:rPr>
          <w:bCs/>
          <w:lang w:val="bg-BG"/>
        </w:rPr>
        <w:t>алинея</w:t>
      </w:r>
      <w:r w:rsidR="009415A9" w:rsidRPr="001D11CD">
        <w:rPr>
          <w:bCs/>
          <w:lang w:val="bg-BG"/>
        </w:rPr>
        <w:t xml:space="preserve"> 2 от Изборния кодекс е несъвместим с </w:t>
      </w:r>
      <w:r w:rsidR="001919A1" w:rsidRPr="001D11CD">
        <w:rPr>
          <w:bCs/>
          <w:lang w:val="bg-BG"/>
        </w:rPr>
        <w:t>въпросната</w:t>
      </w:r>
      <w:r w:rsidR="009415A9" w:rsidRPr="001D11CD">
        <w:rPr>
          <w:bCs/>
          <w:lang w:val="bg-BG"/>
        </w:rPr>
        <w:t xml:space="preserve"> разпоредба на Конвенцията, моли съда да приложи само </w:t>
      </w:r>
      <w:r w:rsidR="001919A1" w:rsidRPr="001D11CD">
        <w:rPr>
          <w:bCs/>
          <w:lang w:val="bg-BG"/>
        </w:rPr>
        <w:t>последната</w:t>
      </w:r>
      <w:r w:rsidR="009415A9" w:rsidRPr="001D11CD">
        <w:rPr>
          <w:bCs/>
          <w:lang w:val="bg-BG"/>
        </w:rPr>
        <w:t>.</w:t>
      </w:r>
    </w:p>
    <w:bookmarkStart w:id="2" w:name="Para8"/>
    <w:p w14:paraId="27E34E36" w14:textId="68D80644" w:rsidR="001B4F33" w:rsidRPr="001D11CD" w:rsidRDefault="000B760F" w:rsidP="000B760F">
      <w:pPr>
        <w:pStyle w:val="JuPara"/>
        <w:rPr>
          <w:bCs/>
          <w:lang w:val="bg-BG"/>
        </w:rPr>
      </w:pPr>
      <w:r w:rsidRPr="001D11CD">
        <w:rPr>
          <w:bCs/>
          <w:lang w:val="bg-BG"/>
        </w:rPr>
        <w:fldChar w:fldCharType="begin"/>
      </w:r>
      <w:r w:rsidRPr="001D11CD">
        <w:rPr>
          <w:bCs/>
          <w:lang w:val="bg-BG"/>
        </w:rPr>
        <w:instrText xml:space="preserve"> SEQ level0 \*arabic \* MERGEFORMAT </w:instrText>
      </w:r>
      <w:r w:rsidRPr="001D11CD">
        <w:rPr>
          <w:bCs/>
          <w:lang w:val="bg-BG"/>
        </w:rPr>
        <w:fldChar w:fldCharType="separate"/>
      </w:r>
      <w:r w:rsidRPr="001D11CD">
        <w:rPr>
          <w:bCs/>
          <w:lang w:val="bg-BG"/>
        </w:rPr>
        <w:t>8</w:t>
      </w:r>
      <w:r w:rsidRPr="001D11CD">
        <w:rPr>
          <w:bCs/>
          <w:lang w:val="bg-BG"/>
        </w:rPr>
        <w:fldChar w:fldCharType="end"/>
      </w:r>
      <w:bookmarkEnd w:id="2"/>
      <w:r w:rsidRPr="001D11CD">
        <w:rPr>
          <w:bCs/>
          <w:lang w:val="bg-BG"/>
        </w:rPr>
        <w:t>.  </w:t>
      </w:r>
      <w:r w:rsidR="001919A1" w:rsidRPr="001D11CD">
        <w:rPr>
          <w:bCs/>
          <w:lang w:val="bg-BG"/>
        </w:rPr>
        <w:t>На 10 юли 2014</w:t>
      </w:r>
      <w:r w:rsidR="005D43FE" w:rsidRPr="001D11CD">
        <w:rPr>
          <w:bCs/>
          <w:lang w:val="bg-BG"/>
        </w:rPr>
        <w:t> г.</w:t>
      </w:r>
      <w:r w:rsidR="001919A1" w:rsidRPr="001D11CD">
        <w:rPr>
          <w:bCs/>
          <w:lang w:val="bg-BG"/>
        </w:rPr>
        <w:t xml:space="preserve"> </w:t>
      </w:r>
      <w:r w:rsidR="005D43FE" w:rsidRPr="001D11CD">
        <w:rPr>
          <w:bCs/>
          <w:lang w:val="bg-BG"/>
        </w:rPr>
        <w:t>Р</w:t>
      </w:r>
      <w:r w:rsidR="0087491D" w:rsidRPr="001D11CD">
        <w:rPr>
          <w:bCs/>
          <w:lang w:val="bg-BG"/>
        </w:rPr>
        <w:t>айон</w:t>
      </w:r>
      <w:r w:rsidR="001919A1" w:rsidRPr="001D11CD">
        <w:rPr>
          <w:bCs/>
          <w:lang w:val="bg-BG"/>
        </w:rPr>
        <w:t>ният съд, след като се запозна</w:t>
      </w:r>
      <w:r w:rsidR="001B4F33" w:rsidRPr="001D11CD">
        <w:rPr>
          <w:bCs/>
          <w:lang w:val="bg-BG"/>
        </w:rPr>
        <w:t>ва</w:t>
      </w:r>
      <w:r w:rsidR="001919A1" w:rsidRPr="001D11CD">
        <w:rPr>
          <w:bCs/>
          <w:lang w:val="bg-BG"/>
        </w:rPr>
        <w:t xml:space="preserve"> с </w:t>
      </w:r>
      <w:r w:rsidR="001B4F33" w:rsidRPr="001D11CD">
        <w:rPr>
          <w:bCs/>
          <w:lang w:val="bg-BG"/>
        </w:rPr>
        <w:t>материалите по делото</w:t>
      </w:r>
      <w:r w:rsidR="001919A1" w:rsidRPr="001D11CD">
        <w:rPr>
          <w:bCs/>
          <w:lang w:val="bg-BG"/>
        </w:rPr>
        <w:t xml:space="preserve">, </w:t>
      </w:r>
      <w:r w:rsidR="001B4F33" w:rsidRPr="001D11CD">
        <w:rPr>
          <w:bCs/>
          <w:lang w:val="bg-BG"/>
        </w:rPr>
        <w:t xml:space="preserve">включващи по-специално </w:t>
      </w:r>
      <w:r w:rsidR="001919A1" w:rsidRPr="001D11CD">
        <w:rPr>
          <w:bCs/>
          <w:lang w:val="bg-BG"/>
        </w:rPr>
        <w:t>видеозапис, писмени документи и свидетелски показания, потвър</w:t>
      </w:r>
      <w:r w:rsidR="001B4F33" w:rsidRPr="001D11CD">
        <w:rPr>
          <w:bCs/>
          <w:lang w:val="bg-BG"/>
        </w:rPr>
        <w:t>ждава</w:t>
      </w:r>
      <w:r w:rsidR="005D43FE" w:rsidRPr="001D11CD">
        <w:rPr>
          <w:bCs/>
          <w:lang w:val="bg-BG"/>
        </w:rPr>
        <w:t xml:space="preserve">, че на 5 май 2013 г. </w:t>
      </w:r>
      <w:r w:rsidR="001919A1" w:rsidRPr="001D11CD">
        <w:rPr>
          <w:bCs/>
          <w:lang w:val="bg-BG"/>
        </w:rPr>
        <w:t xml:space="preserve">жалбоподателят е агитирал на турски </w:t>
      </w:r>
      <w:r w:rsidR="001B4F33" w:rsidRPr="001D11CD">
        <w:rPr>
          <w:bCs/>
          <w:lang w:val="bg-BG"/>
        </w:rPr>
        <w:t xml:space="preserve">език </w:t>
      </w:r>
      <w:r w:rsidR="001919A1" w:rsidRPr="001D11CD">
        <w:rPr>
          <w:bCs/>
          <w:lang w:val="bg-BG"/>
        </w:rPr>
        <w:t xml:space="preserve">без превод на български, като </w:t>
      </w:r>
      <w:r w:rsidR="001919A1" w:rsidRPr="001D11CD">
        <w:rPr>
          <w:bCs/>
          <w:lang w:val="bg-BG"/>
        </w:rPr>
        <w:lastRenderedPageBreak/>
        <w:t xml:space="preserve">по този начин е нарушил </w:t>
      </w:r>
      <w:r w:rsidR="0087491D" w:rsidRPr="001D11CD">
        <w:rPr>
          <w:bCs/>
          <w:lang w:val="bg-BG"/>
        </w:rPr>
        <w:t>И</w:t>
      </w:r>
      <w:r w:rsidR="001919A1" w:rsidRPr="001D11CD">
        <w:rPr>
          <w:bCs/>
          <w:lang w:val="bg-BG"/>
        </w:rPr>
        <w:t xml:space="preserve">зборния кодекс (параграфи 5 по-горе и 14 по-долу). Съдът обаче </w:t>
      </w:r>
      <w:r w:rsidR="001B4F33" w:rsidRPr="001D11CD">
        <w:rPr>
          <w:bCs/>
          <w:lang w:val="bg-BG"/>
        </w:rPr>
        <w:t>приема</w:t>
      </w:r>
      <w:r w:rsidR="001919A1" w:rsidRPr="001D11CD">
        <w:rPr>
          <w:bCs/>
          <w:lang w:val="bg-BG"/>
        </w:rPr>
        <w:t xml:space="preserve">, че тъй като </w:t>
      </w:r>
      <w:r w:rsidR="001B4F33" w:rsidRPr="001D11CD">
        <w:rPr>
          <w:bCs/>
          <w:lang w:val="bg-BG"/>
        </w:rPr>
        <w:t xml:space="preserve">става въпрос за </w:t>
      </w:r>
      <w:r w:rsidR="001919A1" w:rsidRPr="001D11CD">
        <w:rPr>
          <w:bCs/>
          <w:lang w:val="bg-BG"/>
        </w:rPr>
        <w:t>първо нарушение</w:t>
      </w:r>
      <w:r w:rsidR="001B4F33" w:rsidRPr="001D11CD">
        <w:rPr>
          <w:bCs/>
          <w:lang w:val="bg-BG"/>
        </w:rPr>
        <w:t xml:space="preserve"> на лицето, редно е </w:t>
      </w:r>
      <w:r w:rsidR="001919A1" w:rsidRPr="001D11CD">
        <w:rPr>
          <w:bCs/>
          <w:lang w:val="bg-BG"/>
        </w:rPr>
        <w:t xml:space="preserve">да не </w:t>
      </w:r>
      <w:r w:rsidR="001B4F33" w:rsidRPr="001D11CD">
        <w:rPr>
          <w:bCs/>
          <w:lang w:val="bg-BG"/>
        </w:rPr>
        <w:t xml:space="preserve">му </w:t>
      </w:r>
      <w:r w:rsidR="001919A1" w:rsidRPr="001D11CD">
        <w:rPr>
          <w:bCs/>
          <w:lang w:val="bg-BG"/>
        </w:rPr>
        <w:t xml:space="preserve">се </w:t>
      </w:r>
      <w:r w:rsidR="001B4F33" w:rsidRPr="001D11CD">
        <w:rPr>
          <w:bCs/>
          <w:lang w:val="bg-BG"/>
        </w:rPr>
        <w:t xml:space="preserve">налага </w:t>
      </w:r>
      <w:r w:rsidR="00FE2672" w:rsidRPr="001D11CD">
        <w:rPr>
          <w:bCs/>
          <w:lang w:val="bg-BG"/>
        </w:rPr>
        <w:t>максималният</w:t>
      </w:r>
      <w:r w:rsidR="001919A1" w:rsidRPr="001D11CD">
        <w:rPr>
          <w:bCs/>
          <w:lang w:val="bg-BG"/>
        </w:rPr>
        <w:t xml:space="preserve"> </w:t>
      </w:r>
      <w:r w:rsidR="005D43FE" w:rsidRPr="001D11CD">
        <w:rPr>
          <w:bCs/>
          <w:lang w:val="bg-BG"/>
        </w:rPr>
        <w:t xml:space="preserve">по закон </w:t>
      </w:r>
      <w:r w:rsidR="001919A1" w:rsidRPr="001D11CD">
        <w:rPr>
          <w:bCs/>
          <w:lang w:val="bg-BG"/>
        </w:rPr>
        <w:t xml:space="preserve">размер на глобата, </w:t>
      </w:r>
      <w:r w:rsidR="001B4F33" w:rsidRPr="001D11CD">
        <w:rPr>
          <w:bCs/>
          <w:lang w:val="bg-BG"/>
        </w:rPr>
        <w:t xml:space="preserve">полагаща се </w:t>
      </w:r>
      <w:r w:rsidR="001919A1" w:rsidRPr="001D11CD">
        <w:rPr>
          <w:bCs/>
          <w:lang w:val="bg-BG"/>
        </w:rPr>
        <w:t xml:space="preserve">за </w:t>
      </w:r>
      <w:r w:rsidR="00FE2672" w:rsidRPr="001D11CD">
        <w:rPr>
          <w:bCs/>
          <w:lang w:val="bg-BG"/>
        </w:rPr>
        <w:t>съответното</w:t>
      </w:r>
      <w:r w:rsidR="001919A1" w:rsidRPr="001D11CD">
        <w:rPr>
          <w:bCs/>
          <w:lang w:val="bg-BG"/>
        </w:rPr>
        <w:t xml:space="preserve"> нарушение. </w:t>
      </w:r>
      <w:r w:rsidR="001B4F33" w:rsidRPr="001D11CD">
        <w:rPr>
          <w:bCs/>
          <w:lang w:val="bg-BG"/>
        </w:rPr>
        <w:t>С</w:t>
      </w:r>
      <w:r w:rsidR="001919A1" w:rsidRPr="001D11CD">
        <w:rPr>
          <w:bCs/>
          <w:lang w:val="bg-BG"/>
        </w:rPr>
        <w:t>ъдът промен</w:t>
      </w:r>
      <w:r w:rsidR="001B4F33" w:rsidRPr="001D11CD">
        <w:rPr>
          <w:bCs/>
          <w:lang w:val="bg-BG"/>
        </w:rPr>
        <w:t xml:space="preserve">я следователно </w:t>
      </w:r>
      <w:r w:rsidR="001919A1" w:rsidRPr="001D11CD">
        <w:rPr>
          <w:bCs/>
          <w:lang w:val="bg-BG"/>
        </w:rPr>
        <w:t>размера на първоначалната глоба</w:t>
      </w:r>
      <w:r w:rsidR="001B4F33" w:rsidRPr="001D11CD">
        <w:rPr>
          <w:bCs/>
          <w:lang w:val="bg-BG"/>
        </w:rPr>
        <w:t xml:space="preserve"> и я определя</w:t>
      </w:r>
      <w:r w:rsidR="001919A1" w:rsidRPr="001D11CD">
        <w:rPr>
          <w:bCs/>
          <w:lang w:val="bg-BG"/>
        </w:rPr>
        <w:t xml:space="preserve"> на 500</w:t>
      </w:r>
      <w:r w:rsidR="005D43FE" w:rsidRPr="001D11CD">
        <w:rPr>
          <w:bCs/>
          <w:lang w:val="bg-BG"/>
        </w:rPr>
        <w:t> </w:t>
      </w:r>
      <w:r w:rsidR="0066341A" w:rsidRPr="001D11CD">
        <w:rPr>
          <w:bCs/>
          <w:lang w:val="bg-BG"/>
        </w:rPr>
        <w:t>лева</w:t>
      </w:r>
      <w:r w:rsidR="001919A1" w:rsidRPr="001D11CD">
        <w:rPr>
          <w:bCs/>
          <w:lang w:val="bg-BG"/>
        </w:rPr>
        <w:t xml:space="preserve"> (приблизително 250</w:t>
      </w:r>
      <w:r w:rsidR="005D43FE" w:rsidRPr="001D11CD">
        <w:rPr>
          <w:bCs/>
          <w:lang w:val="bg-BG"/>
        </w:rPr>
        <w:t> </w:t>
      </w:r>
      <w:r w:rsidR="001919A1" w:rsidRPr="001D11CD">
        <w:rPr>
          <w:bCs/>
          <w:lang w:val="bg-BG"/>
        </w:rPr>
        <w:t xml:space="preserve">евро). </w:t>
      </w:r>
      <w:r w:rsidR="001B4F33" w:rsidRPr="001D11CD">
        <w:rPr>
          <w:bCs/>
          <w:lang w:val="bg-BG"/>
        </w:rPr>
        <w:t>У</w:t>
      </w:r>
      <w:r w:rsidR="001919A1" w:rsidRPr="001D11CD">
        <w:rPr>
          <w:bCs/>
          <w:lang w:val="bg-BG"/>
        </w:rPr>
        <w:t>точн</w:t>
      </w:r>
      <w:r w:rsidR="001B4F33" w:rsidRPr="001D11CD">
        <w:rPr>
          <w:bCs/>
          <w:lang w:val="bg-BG"/>
        </w:rPr>
        <w:t>ява</w:t>
      </w:r>
      <w:r w:rsidR="001919A1" w:rsidRPr="001D11CD">
        <w:rPr>
          <w:bCs/>
          <w:lang w:val="bg-BG"/>
        </w:rPr>
        <w:t xml:space="preserve">, че въпросната глоба има за цел да </w:t>
      </w:r>
      <w:r w:rsidR="0087491D" w:rsidRPr="001D11CD">
        <w:rPr>
          <w:bCs/>
          <w:lang w:val="bg-BG"/>
        </w:rPr>
        <w:t>отправи предупреждение</w:t>
      </w:r>
      <w:r w:rsidR="001919A1" w:rsidRPr="001D11CD">
        <w:rPr>
          <w:bCs/>
          <w:lang w:val="bg-BG"/>
        </w:rPr>
        <w:t xml:space="preserve"> и </w:t>
      </w:r>
      <w:r w:rsidR="005D43FE" w:rsidRPr="001D11CD">
        <w:rPr>
          <w:bCs/>
          <w:lang w:val="bg-BG"/>
        </w:rPr>
        <w:t xml:space="preserve">да </w:t>
      </w:r>
      <w:r w:rsidR="001919A1" w:rsidRPr="001D11CD">
        <w:rPr>
          <w:bCs/>
          <w:lang w:val="bg-BG"/>
        </w:rPr>
        <w:t xml:space="preserve">призове към ред </w:t>
      </w:r>
      <w:r w:rsidR="0087491D" w:rsidRPr="001D11CD">
        <w:rPr>
          <w:bCs/>
          <w:lang w:val="bg-BG"/>
        </w:rPr>
        <w:t xml:space="preserve">не само </w:t>
      </w:r>
      <w:r w:rsidR="001919A1" w:rsidRPr="001D11CD">
        <w:rPr>
          <w:bCs/>
          <w:lang w:val="bg-BG"/>
        </w:rPr>
        <w:t xml:space="preserve">извършителя на нарушението, </w:t>
      </w:r>
      <w:r w:rsidR="001B4F33" w:rsidRPr="001D11CD">
        <w:rPr>
          <w:bCs/>
          <w:lang w:val="bg-BG"/>
        </w:rPr>
        <w:t>н</w:t>
      </w:r>
      <w:r w:rsidR="001919A1" w:rsidRPr="001D11CD">
        <w:rPr>
          <w:bCs/>
          <w:lang w:val="bg-BG"/>
        </w:rPr>
        <w:t xml:space="preserve">о и други лица, които </w:t>
      </w:r>
      <w:r w:rsidR="001B4F33" w:rsidRPr="001D11CD">
        <w:rPr>
          <w:bCs/>
          <w:lang w:val="bg-BG"/>
        </w:rPr>
        <w:t xml:space="preserve">биха </w:t>
      </w:r>
      <w:r w:rsidR="001919A1" w:rsidRPr="001D11CD">
        <w:rPr>
          <w:bCs/>
          <w:lang w:val="bg-BG"/>
        </w:rPr>
        <w:t>мог</w:t>
      </w:r>
      <w:r w:rsidR="001B4F33" w:rsidRPr="001D11CD">
        <w:rPr>
          <w:bCs/>
          <w:lang w:val="bg-BG"/>
        </w:rPr>
        <w:t xml:space="preserve">ли да се окажат </w:t>
      </w:r>
      <w:r w:rsidR="001919A1" w:rsidRPr="001D11CD">
        <w:rPr>
          <w:bCs/>
          <w:lang w:val="bg-BG"/>
        </w:rPr>
        <w:t>в подобна ситуация.</w:t>
      </w:r>
    </w:p>
    <w:p w14:paraId="34837563" w14:textId="5BFC2BFF" w:rsidR="006549AE" w:rsidRPr="001D11CD" w:rsidRDefault="000B760F" w:rsidP="000B760F">
      <w:pPr>
        <w:pStyle w:val="JuPara"/>
        <w:rPr>
          <w:bCs/>
          <w:lang w:val="bg-BG"/>
        </w:rPr>
      </w:pPr>
      <w:r w:rsidRPr="001D11CD">
        <w:rPr>
          <w:bCs/>
          <w:lang w:val="bg-BG"/>
        </w:rPr>
        <w:fldChar w:fldCharType="begin"/>
      </w:r>
      <w:r w:rsidRPr="001D11CD">
        <w:rPr>
          <w:bCs/>
          <w:lang w:val="bg-BG"/>
        </w:rPr>
        <w:instrText xml:space="preserve"> SEQ level0 \*arabic \* MERGEFORMAT </w:instrText>
      </w:r>
      <w:r w:rsidRPr="001D11CD">
        <w:rPr>
          <w:bCs/>
          <w:lang w:val="bg-BG"/>
        </w:rPr>
        <w:fldChar w:fldCharType="separate"/>
      </w:r>
      <w:r w:rsidRPr="001D11CD">
        <w:rPr>
          <w:bCs/>
          <w:lang w:val="bg-BG"/>
        </w:rPr>
        <w:t>9</w:t>
      </w:r>
      <w:r w:rsidRPr="001D11CD">
        <w:rPr>
          <w:bCs/>
          <w:lang w:val="bg-BG"/>
        </w:rPr>
        <w:fldChar w:fldCharType="end"/>
      </w:r>
      <w:r w:rsidRPr="001D11CD">
        <w:rPr>
          <w:bCs/>
          <w:lang w:val="bg-BG"/>
        </w:rPr>
        <w:t>.  </w:t>
      </w:r>
      <w:r w:rsidR="006549AE" w:rsidRPr="001D11CD">
        <w:rPr>
          <w:bCs/>
          <w:lang w:val="bg-BG"/>
        </w:rPr>
        <w:t>Жалбоподателят обжалва пред Сливенския административен съд. На 9 декември 2014</w:t>
      </w:r>
      <w:r w:rsidR="005D43FE" w:rsidRPr="001D11CD">
        <w:rPr>
          <w:bCs/>
          <w:lang w:val="bg-BG"/>
        </w:rPr>
        <w:t> г.</w:t>
      </w:r>
      <w:r w:rsidR="006549AE" w:rsidRPr="001D11CD">
        <w:rPr>
          <w:bCs/>
          <w:lang w:val="bg-BG"/>
        </w:rPr>
        <w:t xml:space="preserve"> </w:t>
      </w:r>
      <w:r w:rsidR="005D43FE" w:rsidRPr="001D11CD">
        <w:rPr>
          <w:bCs/>
          <w:lang w:val="bg-BG"/>
        </w:rPr>
        <w:t>А</w:t>
      </w:r>
      <w:r w:rsidR="006549AE" w:rsidRPr="001D11CD">
        <w:rPr>
          <w:bCs/>
          <w:lang w:val="bg-BG"/>
        </w:rPr>
        <w:t xml:space="preserve">дминистративният съд потвърждава решението на </w:t>
      </w:r>
      <w:r w:rsidR="005D43FE" w:rsidRPr="001D11CD">
        <w:rPr>
          <w:bCs/>
          <w:lang w:val="bg-BG"/>
        </w:rPr>
        <w:t>Р</w:t>
      </w:r>
      <w:r w:rsidR="006549AE" w:rsidRPr="001D11CD">
        <w:rPr>
          <w:bCs/>
          <w:lang w:val="bg-BG"/>
        </w:rPr>
        <w:t xml:space="preserve">айонния съд. Той припомня </w:t>
      </w:r>
      <w:r w:rsidR="00E54ED5" w:rsidRPr="001D11CD">
        <w:rPr>
          <w:bCs/>
          <w:lang w:val="bg-BG"/>
        </w:rPr>
        <w:t>процесната</w:t>
      </w:r>
      <w:r w:rsidR="006549AE" w:rsidRPr="001D11CD">
        <w:rPr>
          <w:bCs/>
          <w:lang w:val="bg-BG"/>
        </w:rPr>
        <w:t xml:space="preserve"> разпоредба от </w:t>
      </w:r>
      <w:r w:rsidR="00E54ED5" w:rsidRPr="001D11CD">
        <w:rPr>
          <w:bCs/>
          <w:lang w:val="bg-BG"/>
        </w:rPr>
        <w:t>И</w:t>
      </w:r>
      <w:r w:rsidR="006549AE" w:rsidRPr="001D11CD">
        <w:rPr>
          <w:bCs/>
          <w:lang w:val="bg-BG"/>
        </w:rPr>
        <w:t>зборния кодекс, която гласи, че кампанията трябва да се води на български език и че на нарушителите се налага административн</w:t>
      </w:r>
      <w:r w:rsidR="00E54ED5" w:rsidRPr="001D11CD">
        <w:rPr>
          <w:bCs/>
          <w:lang w:val="bg-BG"/>
        </w:rPr>
        <w:t>о</w:t>
      </w:r>
      <w:r w:rsidR="006549AE" w:rsidRPr="001D11CD">
        <w:rPr>
          <w:bCs/>
          <w:lang w:val="bg-BG"/>
        </w:rPr>
        <w:t xml:space="preserve"> </w:t>
      </w:r>
      <w:r w:rsidR="00E54ED5" w:rsidRPr="001D11CD">
        <w:rPr>
          <w:bCs/>
          <w:lang w:val="bg-BG"/>
        </w:rPr>
        <w:t>наказание</w:t>
      </w:r>
      <w:r w:rsidR="00541105">
        <w:rPr>
          <w:bCs/>
          <w:lang w:val="bg-BG"/>
        </w:rPr>
        <w:t xml:space="preserve"> глоба</w:t>
      </w:r>
      <w:r w:rsidR="006549AE" w:rsidRPr="001D11CD">
        <w:rPr>
          <w:bCs/>
          <w:lang w:val="bg-BG"/>
        </w:rPr>
        <w:t xml:space="preserve">. Административният съд допълва, че въпросната норма е в съответствие с Конституцията и член 10 от Конвенцията, като се има предвид фактът, че правото на свобода на изразяването на мнение не е абсолютно и </w:t>
      </w:r>
      <w:r w:rsidR="007A15D0" w:rsidRPr="001D11CD">
        <w:rPr>
          <w:bCs/>
          <w:lang w:val="bg-BG"/>
        </w:rPr>
        <w:t xml:space="preserve">по време на избори </w:t>
      </w:r>
      <w:r w:rsidR="006549AE" w:rsidRPr="001D11CD">
        <w:rPr>
          <w:bCs/>
          <w:lang w:val="bg-BG"/>
        </w:rPr>
        <w:t xml:space="preserve">може да </w:t>
      </w:r>
      <w:r w:rsidR="00E54ED5" w:rsidRPr="001D11CD">
        <w:rPr>
          <w:bCs/>
          <w:lang w:val="bg-BG"/>
        </w:rPr>
        <w:t>бъде предмет</w:t>
      </w:r>
      <w:r w:rsidR="006549AE" w:rsidRPr="001D11CD">
        <w:rPr>
          <w:bCs/>
          <w:lang w:val="bg-BG"/>
        </w:rPr>
        <w:t xml:space="preserve"> </w:t>
      </w:r>
      <w:r w:rsidR="009F6EF9" w:rsidRPr="001D11CD">
        <w:rPr>
          <w:bCs/>
          <w:lang w:val="bg-BG"/>
        </w:rPr>
        <w:t xml:space="preserve">на </w:t>
      </w:r>
      <w:r w:rsidR="006549AE" w:rsidRPr="001D11CD">
        <w:rPr>
          <w:bCs/>
          <w:lang w:val="bg-BG"/>
        </w:rPr>
        <w:t>по-гол</w:t>
      </w:r>
      <w:r w:rsidR="009F6EF9" w:rsidRPr="001D11CD">
        <w:rPr>
          <w:bCs/>
          <w:lang w:val="bg-BG"/>
        </w:rPr>
        <w:t xml:space="preserve">еми ограничения </w:t>
      </w:r>
      <w:r w:rsidR="006549AE" w:rsidRPr="001D11CD">
        <w:rPr>
          <w:bCs/>
          <w:lang w:val="bg-BG"/>
        </w:rPr>
        <w:t xml:space="preserve">от обичайните </w:t>
      </w:r>
      <w:r w:rsidR="009F6EF9" w:rsidRPr="001D11CD">
        <w:rPr>
          <w:bCs/>
          <w:lang w:val="bg-BG"/>
        </w:rPr>
        <w:t xml:space="preserve">с цел </w:t>
      </w:r>
      <w:r w:rsidR="006549AE" w:rsidRPr="001D11CD">
        <w:rPr>
          <w:bCs/>
          <w:lang w:val="bg-BG"/>
        </w:rPr>
        <w:t xml:space="preserve">да се гарантира свободното изразяване на </w:t>
      </w:r>
      <w:r w:rsidR="00E54ED5" w:rsidRPr="001D11CD">
        <w:rPr>
          <w:bCs/>
          <w:lang w:val="bg-BG"/>
        </w:rPr>
        <w:t xml:space="preserve">гражданите </w:t>
      </w:r>
      <w:r w:rsidR="00097AA3" w:rsidRPr="001D11CD">
        <w:rPr>
          <w:bCs/>
          <w:lang w:val="bg-BG"/>
        </w:rPr>
        <w:t>при</w:t>
      </w:r>
      <w:r w:rsidR="006549AE" w:rsidRPr="001D11CD">
        <w:rPr>
          <w:bCs/>
          <w:lang w:val="bg-BG"/>
        </w:rPr>
        <w:t xml:space="preserve"> избор</w:t>
      </w:r>
      <w:r w:rsidR="00097AA3" w:rsidRPr="001D11CD">
        <w:rPr>
          <w:bCs/>
          <w:lang w:val="bg-BG"/>
        </w:rPr>
        <w:t>а</w:t>
      </w:r>
      <w:r w:rsidR="00E54ED5" w:rsidRPr="001D11CD">
        <w:rPr>
          <w:bCs/>
          <w:lang w:val="bg-BG"/>
        </w:rPr>
        <w:t xml:space="preserve"> </w:t>
      </w:r>
      <w:r w:rsidR="00097AA3" w:rsidRPr="001D11CD">
        <w:rPr>
          <w:bCs/>
          <w:lang w:val="bg-BG"/>
        </w:rPr>
        <w:t>н</w:t>
      </w:r>
      <w:r w:rsidR="006549AE" w:rsidRPr="001D11CD">
        <w:rPr>
          <w:bCs/>
          <w:lang w:val="bg-BG"/>
        </w:rPr>
        <w:t xml:space="preserve">а законодателен орган. Административният съд </w:t>
      </w:r>
      <w:r w:rsidR="00D24EC8">
        <w:rPr>
          <w:bCs/>
          <w:lang w:val="bg-BG"/>
        </w:rPr>
        <w:t>посочва</w:t>
      </w:r>
      <w:r w:rsidR="006549AE" w:rsidRPr="001D11CD">
        <w:rPr>
          <w:bCs/>
          <w:lang w:val="bg-BG"/>
        </w:rPr>
        <w:t xml:space="preserve">, че </w:t>
      </w:r>
      <w:r w:rsidR="009F6EF9" w:rsidRPr="001D11CD">
        <w:rPr>
          <w:bCs/>
          <w:lang w:val="bg-BG"/>
        </w:rPr>
        <w:t>въпросното</w:t>
      </w:r>
      <w:r w:rsidR="006549AE" w:rsidRPr="001D11CD">
        <w:rPr>
          <w:bCs/>
          <w:lang w:val="bg-BG"/>
        </w:rPr>
        <w:t xml:space="preserve"> законово задължение кандидатите да водят агитация на български език</w:t>
      </w:r>
      <w:r w:rsidR="009F6EF9" w:rsidRPr="001D11CD">
        <w:rPr>
          <w:bCs/>
          <w:lang w:val="bg-BG"/>
        </w:rPr>
        <w:t xml:space="preserve"> се основава на няколко съображения</w:t>
      </w:r>
      <w:r w:rsidR="006549AE" w:rsidRPr="001D11CD">
        <w:rPr>
          <w:bCs/>
          <w:lang w:val="bg-BG"/>
        </w:rPr>
        <w:t>: а) то</w:t>
      </w:r>
      <w:r w:rsidR="009F6EF9" w:rsidRPr="001D11CD">
        <w:rPr>
          <w:bCs/>
          <w:lang w:val="bg-BG"/>
        </w:rPr>
        <w:t xml:space="preserve"> </w:t>
      </w:r>
      <w:r w:rsidR="006549AE" w:rsidRPr="001D11CD">
        <w:rPr>
          <w:bCs/>
          <w:lang w:val="bg-BG"/>
        </w:rPr>
        <w:t xml:space="preserve">защитава правата на българските избиратели, като ги поставя при еднакви условия и по този начин гарантира еднаквото упражняване на правото на глас от всички; б) гарантира, че всички гласоподаватели имат възможност да разберат предизборните послания и да гласуват </w:t>
      </w:r>
      <w:r w:rsidR="009F6EF9" w:rsidRPr="001D11CD">
        <w:rPr>
          <w:bCs/>
          <w:lang w:val="bg-BG"/>
        </w:rPr>
        <w:t>осъзнат</w:t>
      </w:r>
      <w:r w:rsidR="00E54ED5" w:rsidRPr="001D11CD">
        <w:rPr>
          <w:bCs/>
          <w:lang w:val="bg-BG"/>
        </w:rPr>
        <w:t>о</w:t>
      </w:r>
      <w:r w:rsidR="006549AE" w:rsidRPr="001D11CD">
        <w:rPr>
          <w:bCs/>
          <w:lang w:val="bg-BG"/>
        </w:rPr>
        <w:t xml:space="preserve">; в) гарантира правото на информация на лицата, които не </w:t>
      </w:r>
      <w:r w:rsidR="00711A2F" w:rsidRPr="001D11CD">
        <w:rPr>
          <w:bCs/>
          <w:lang w:val="bg-BG"/>
        </w:rPr>
        <w:t xml:space="preserve">биха </w:t>
      </w:r>
      <w:r w:rsidR="006549AE" w:rsidRPr="001D11CD">
        <w:rPr>
          <w:bCs/>
          <w:lang w:val="bg-BG"/>
        </w:rPr>
        <w:t>разбра</w:t>
      </w:r>
      <w:r w:rsidR="00711A2F" w:rsidRPr="001D11CD">
        <w:rPr>
          <w:bCs/>
          <w:lang w:val="bg-BG"/>
        </w:rPr>
        <w:t>ли</w:t>
      </w:r>
      <w:r w:rsidR="006549AE" w:rsidRPr="001D11CD">
        <w:rPr>
          <w:bCs/>
          <w:lang w:val="bg-BG"/>
        </w:rPr>
        <w:t xml:space="preserve"> кандидатите, ако последните мо</w:t>
      </w:r>
      <w:r w:rsidR="00711A2F" w:rsidRPr="001D11CD">
        <w:rPr>
          <w:bCs/>
          <w:lang w:val="bg-BG"/>
        </w:rPr>
        <w:t xml:space="preserve">жеха </w:t>
      </w:r>
      <w:r w:rsidR="006549AE" w:rsidRPr="001D11CD">
        <w:rPr>
          <w:bCs/>
          <w:lang w:val="bg-BG"/>
        </w:rPr>
        <w:t>да изберат да се изразя</w:t>
      </w:r>
      <w:r w:rsidR="00711A2F" w:rsidRPr="001D11CD">
        <w:rPr>
          <w:bCs/>
          <w:lang w:val="bg-BG"/>
        </w:rPr>
        <w:t>ва</w:t>
      </w:r>
      <w:r w:rsidR="006549AE" w:rsidRPr="001D11CD">
        <w:rPr>
          <w:bCs/>
          <w:lang w:val="bg-BG"/>
        </w:rPr>
        <w:t xml:space="preserve">т на майчиния си език, </w:t>
      </w:r>
      <w:r w:rsidR="00711A2F" w:rsidRPr="001D11CD">
        <w:rPr>
          <w:bCs/>
          <w:lang w:val="bg-BG"/>
        </w:rPr>
        <w:t xml:space="preserve">в </w:t>
      </w:r>
      <w:r w:rsidR="006549AE" w:rsidRPr="001D11CD">
        <w:rPr>
          <w:bCs/>
          <w:lang w:val="bg-BG"/>
        </w:rPr>
        <w:t>случай</w:t>
      </w:r>
      <w:r w:rsidR="00711A2F" w:rsidRPr="001D11CD">
        <w:rPr>
          <w:bCs/>
          <w:lang w:val="bg-BG"/>
        </w:rPr>
        <w:t xml:space="preserve"> че той е </w:t>
      </w:r>
      <w:r w:rsidR="006549AE" w:rsidRPr="001D11CD">
        <w:rPr>
          <w:bCs/>
          <w:lang w:val="bg-BG"/>
        </w:rPr>
        <w:t>различен от българския</w:t>
      </w:r>
      <w:r w:rsidR="00711A2F" w:rsidRPr="001D11CD">
        <w:rPr>
          <w:bCs/>
          <w:lang w:val="bg-BG"/>
        </w:rPr>
        <w:t xml:space="preserve">, като </w:t>
      </w:r>
      <w:r w:rsidR="006549AE" w:rsidRPr="001D11CD">
        <w:rPr>
          <w:bCs/>
          <w:lang w:val="bg-BG"/>
        </w:rPr>
        <w:t xml:space="preserve">съдът </w:t>
      </w:r>
      <w:r w:rsidR="00711A2F" w:rsidRPr="001D11CD">
        <w:rPr>
          <w:bCs/>
          <w:lang w:val="bg-BG"/>
        </w:rPr>
        <w:t>посочва в</w:t>
      </w:r>
      <w:r w:rsidR="006549AE" w:rsidRPr="001D11CD">
        <w:rPr>
          <w:bCs/>
          <w:lang w:val="bg-BG"/>
        </w:rPr>
        <w:t xml:space="preserve"> това отношение </w:t>
      </w:r>
      <w:r w:rsidR="005D43FE" w:rsidRPr="001D11CD">
        <w:rPr>
          <w:bCs/>
          <w:lang w:val="bg-BG"/>
        </w:rPr>
        <w:t>—</w:t>
      </w:r>
      <w:r w:rsidR="006549AE" w:rsidRPr="001D11CD">
        <w:rPr>
          <w:bCs/>
          <w:lang w:val="bg-BG"/>
        </w:rPr>
        <w:t xml:space="preserve"> без да предоставя </w:t>
      </w:r>
      <w:r w:rsidR="00711A2F" w:rsidRPr="001D11CD">
        <w:rPr>
          <w:bCs/>
          <w:lang w:val="bg-BG"/>
        </w:rPr>
        <w:t xml:space="preserve">уточнения </w:t>
      </w:r>
      <w:r w:rsidR="006549AE" w:rsidRPr="001D11CD">
        <w:rPr>
          <w:bCs/>
          <w:lang w:val="bg-BG"/>
        </w:rPr>
        <w:t xml:space="preserve">по </w:t>
      </w:r>
      <w:r w:rsidR="00E54ED5" w:rsidRPr="001D11CD">
        <w:rPr>
          <w:bCs/>
          <w:lang w:val="bg-BG"/>
        </w:rPr>
        <w:t>въпроса</w:t>
      </w:r>
      <w:r w:rsidR="006549AE" w:rsidRPr="001D11CD">
        <w:rPr>
          <w:bCs/>
          <w:lang w:val="bg-BG"/>
        </w:rPr>
        <w:t xml:space="preserve"> </w:t>
      </w:r>
      <w:r w:rsidR="005D43FE" w:rsidRPr="001D11CD">
        <w:rPr>
          <w:bCs/>
          <w:lang w:val="bg-BG"/>
        </w:rPr>
        <w:t>—</w:t>
      </w:r>
      <w:r w:rsidR="006549AE" w:rsidRPr="001D11CD">
        <w:rPr>
          <w:bCs/>
          <w:lang w:val="bg-BG"/>
        </w:rPr>
        <w:t xml:space="preserve"> че част от присъстващите на въпросната среща не </w:t>
      </w:r>
      <w:r w:rsidR="00711A2F" w:rsidRPr="001D11CD">
        <w:rPr>
          <w:bCs/>
          <w:lang w:val="bg-BG"/>
        </w:rPr>
        <w:t xml:space="preserve">са </w:t>
      </w:r>
      <w:r w:rsidR="006549AE" w:rsidRPr="001D11CD">
        <w:rPr>
          <w:bCs/>
          <w:lang w:val="bg-BG"/>
        </w:rPr>
        <w:t>мо</w:t>
      </w:r>
      <w:r w:rsidR="00711A2F" w:rsidRPr="001D11CD">
        <w:rPr>
          <w:bCs/>
          <w:lang w:val="bg-BG"/>
        </w:rPr>
        <w:t>гли</w:t>
      </w:r>
      <w:r w:rsidR="006549AE" w:rsidRPr="001D11CD">
        <w:rPr>
          <w:bCs/>
          <w:lang w:val="bg-BG"/>
        </w:rPr>
        <w:t xml:space="preserve"> да разберат думите на жалбоподателя; (г) целта е да се предотврати евентуално объркване между политически</w:t>
      </w:r>
      <w:r w:rsidR="00711A2F" w:rsidRPr="001D11CD">
        <w:rPr>
          <w:bCs/>
          <w:lang w:val="bg-BG"/>
        </w:rPr>
        <w:t>я</w:t>
      </w:r>
      <w:r w:rsidR="006549AE" w:rsidRPr="001D11CD">
        <w:rPr>
          <w:bCs/>
          <w:lang w:val="bg-BG"/>
        </w:rPr>
        <w:t xml:space="preserve"> дебат и частни въпроси</w:t>
      </w:r>
      <w:r w:rsidR="00711A2F" w:rsidRPr="001D11CD">
        <w:rPr>
          <w:bCs/>
          <w:lang w:val="bg-BG"/>
        </w:rPr>
        <w:t xml:space="preserve">, </w:t>
      </w:r>
      <w:r w:rsidR="005D43FE" w:rsidRPr="001D11CD">
        <w:rPr>
          <w:bCs/>
          <w:lang w:val="bg-BG"/>
        </w:rPr>
        <w:t>отнасящи се до</w:t>
      </w:r>
      <w:r w:rsidR="00711A2F" w:rsidRPr="001D11CD">
        <w:rPr>
          <w:bCs/>
          <w:lang w:val="bg-BG"/>
        </w:rPr>
        <w:t xml:space="preserve"> </w:t>
      </w:r>
      <w:r w:rsidR="006549AE" w:rsidRPr="001D11CD">
        <w:rPr>
          <w:bCs/>
          <w:lang w:val="bg-BG"/>
        </w:rPr>
        <w:t>лица</w:t>
      </w:r>
      <w:r w:rsidR="00711A2F" w:rsidRPr="001D11CD">
        <w:rPr>
          <w:bCs/>
          <w:lang w:val="bg-BG"/>
        </w:rPr>
        <w:t>та</w:t>
      </w:r>
      <w:r w:rsidR="006549AE" w:rsidRPr="001D11CD">
        <w:rPr>
          <w:bCs/>
          <w:lang w:val="bg-BG"/>
        </w:rPr>
        <w:t xml:space="preserve">, чийто майчин език </w:t>
      </w:r>
      <w:r w:rsidR="00711A2F" w:rsidRPr="001D11CD">
        <w:rPr>
          <w:bCs/>
          <w:lang w:val="bg-BG"/>
        </w:rPr>
        <w:t xml:space="preserve">е различен от </w:t>
      </w:r>
      <w:r w:rsidR="006549AE" w:rsidRPr="001D11CD">
        <w:rPr>
          <w:bCs/>
          <w:lang w:val="bg-BG"/>
        </w:rPr>
        <w:t xml:space="preserve">българския. Накрая съдът отбелязва, че законовото задължение </w:t>
      </w:r>
      <w:r w:rsidR="00711A2F" w:rsidRPr="001D11CD">
        <w:rPr>
          <w:bCs/>
          <w:lang w:val="bg-BG"/>
        </w:rPr>
        <w:t xml:space="preserve">за изразяване на </w:t>
      </w:r>
      <w:r w:rsidR="006549AE" w:rsidRPr="001D11CD">
        <w:rPr>
          <w:bCs/>
          <w:lang w:val="bg-BG"/>
        </w:rPr>
        <w:t xml:space="preserve">български език по време на предизборни кампании е свързано и с установените от Конституцията права и задължения </w:t>
      </w:r>
      <w:r w:rsidR="00711A2F" w:rsidRPr="001D11CD">
        <w:rPr>
          <w:bCs/>
          <w:lang w:val="bg-BG"/>
        </w:rPr>
        <w:t>з</w:t>
      </w:r>
      <w:r w:rsidR="006549AE" w:rsidRPr="001D11CD">
        <w:rPr>
          <w:bCs/>
          <w:lang w:val="bg-BG"/>
        </w:rPr>
        <w:t>а всички граждани да учат и използват български език.</w:t>
      </w:r>
    </w:p>
    <w:p w14:paraId="0BE790EA" w14:textId="0CF0942A" w:rsidR="00F50C25" w:rsidRPr="001D11CD" w:rsidRDefault="00F50C25" w:rsidP="000B760F">
      <w:pPr>
        <w:pStyle w:val="JuPara"/>
        <w:rPr>
          <w:bCs/>
          <w:lang w:val="bg-BG"/>
        </w:rPr>
      </w:pPr>
      <w:r w:rsidRPr="001D11CD">
        <w:rPr>
          <w:bCs/>
          <w:lang w:val="bg-BG"/>
        </w:rPr>
        <w:t xml:space="preserve">10. В материалите по делото се съдържат и </w:t>
      </w:r>
      <w:r w:rsidR="00832C85">
        <w:rPr>
          <w:bCs/>
          <w:lang w:val="bg-BG"/>
        </w:rPr>
        <w:t>постановления от</w:t>
      </w:r>
      <w:r w:rsidRPr="001D11CD">
        <w:rPr>
          <w:bCs/>
          <w:lang w:val="bg-BG"/>
        </w:rPr>
        <w:t xml:space="preserve"> периода 28 ноември 2014</w:t>
      </w:r>
      <w:r w:rsidR="00BC52B7" w:rsidRPr="001D11CD">
        <w:rPr>
          <w:bCs/>
          <w:lang w:val="bg-BG"/>
        </w:rPr>
        <w:t> г.</w:t>
      </w:r>
      <w:r w:rsidRPr="001D11CD">
        <w:rPr>
          <w:bCs/>
          <w:lang w:val="bg-BG"/>
        </w:rPr>
        <w:t xml:space="preserve"> </w:t>
      </w:r>
      <w:r w:rsidR="00BC52B7" w:rsidRPr="001D11CD">
        <w:rPr>
          <w:bCs/>
          <w:lang w:val="bg-BG"/>
        </w:rPr>
        <w:t>—</w:t>
      </w:r>
      <w:r w:rsidRPr="001D11CD">
        <w:rPr>
          <w:bCs/>
          <w:lang w:val="bg-BG"/>
        </w:rPr>
        <w:t xml:space="preserve"> 2 април 2015</w:t>
      </w:r>
      <w:r w:rsidR="00BC52B7" w:rsidRPr="001D11CD">
        <w:rPr>
          <w:bCs/>
          <w:lang w:val="bg-BG"/>
        </w:rPr>
        <w:t> г.</w:t>
      </w:r>
      <w:r w:rsidRPr="001D11CD">
        <w:rPr>
          <w:bCs/>
          <w:lang w:val="bg-BG"/>
        </w:rPr>
        <w:t xml:space="preserve"> </w:t>
      </w:r>
      <w:r w:rsidR="00832C85">
        <w:rPr>
          <w:bCs/>
          <w:lang w:val="bg-BG"/>
        </w:rPr>
        <w:t>на</w:t>
      </w:r>
      <w:r w:rsidR="00832C85" w:rsidRPr="001D11CD">
        <w:rPr>
          <w:bCs/>
          <w:lang w:val="bg-BG"/>
        </w:rPr>
        <w:t xml:space="preserve"> </w:t>
      </w:r>
      <w:r w:rsidRPr="001D11CD">
        <w:rPr>
          <w:bCs/>
          <w:lang w:val="bg-BG"/>
        </w:rPr>
        <w:t>областните управители на Кърджали, Пловдив, Шумен, Варна и Велико Търново за налагане на административни санкции на жалбоподателя с мотива, че е агитирал на турски език на различни обществени места в тези региони. Става въпрос за административни глоби в размер от 200 до 2000</w:t>
      </w:r>
      <w:r w:rsidR="00BC52B7" w:rsidRPr="001D11CD">
        <w:rPr>
          <w:bCs/>
          <w:lang w:val="bg-BG"/>
        </w:rPr>
        <w:t> </w:t>
      </w:r>
      <w:r w:rsidR="0066341A" w:rsidRPr="001D11CD">
        <w:rPr>
          <w:bCs/>
          <w:lang w:val="bg-BG"/>
        </w:rPr>
        <w:t>лева</w:t>
      </w:r>
      <w:r w:rsidRPr="001D11CD">
        <w:rPr>
          <w:bCs/>
          <w:lang w:val="bg-BG"/>
        </w:rPr>
        <w:t xml:space="preserve">, като общата сума възлиза на 5862 </w:t>
      </w:r>
      <w:r w:rsidR="0066341A" w:rsidRPr="001D11CD">
        <w:rPr>
          <w:bCs/>
          <w:lang w:val="bg-BG"/>
        </w:rPr>
        <w:t>лева</w:t>
      </w:r>
      <w:r w:rsidR="00BC52B7" w:rsidRPr="001D11CD">
        <w:rPr>
          <w:bCs/>
          <w:lang w:val="bg-BG"/>
        </w:rPr>
        <w:t xml:space="preserve"> (приблизително 2</w:t>
      </w:r>
      <w:r w:rsidRPr="001D11CD">
        <w:rPr>
          <w:bCs/>
          <w:lang w:val="bg-BG"/>
        </w:rPr>
        <w:t>931</w:t>
      </w:r>
      <w:r w:rsidR="00BC52B7" w:rsidRPr="001D11CD">
        <w:rPr>
          <w:bCs/>
          <w:lang w:val="bg-BG"/>
        </w:rPr>
        <w:t> </w:t>
      </w:r>
      <w:r w:rsidRPr="001D11CD">
        <w:rPr>
          <w:bCs/>
          <w:lang w:val="bg-BG"/>
        </w:rPr>
        <w:t xml:space="preserve">евро). </w:t>
      </w:r>
      <w:r w:rsidR="00FE2672" w:rsidRPr="001D11CD">
        <w:rPr>
          <w:bCs/>
          <w:lang w:val="bg-BG"/>
        </w:rPr>
        <w:t>Жалбоподателят</w:t>
      </w:r>
      <w:r w:rsidRPr="001D11CD">
        <w:rPr>
          <w:bCs/>
          <w:lang w:val="bg-BG"/>
        </w:rPr>
        <w:t xml:space="preserve"> не представя доказателства, че е обжалвал тези решения.</w:t>
      </w:r>
    </w:p>
    <w:bookmarkStart w:id="3" w:name="Para11new"/>
    <w:p w14:paraId="07BA4707" w14:textId="7707DFA7" w:rsidR="00F50C25" w:rsidRPr="001D11CD" w:rsidRDefault="000B760F" w:rsidP="000B760F">
      <w:pPr>
        <w:pStyle w:val="JuPara"/>
        <w:rPr>
          <w:bCs/>
          <w:lang w:val="bg-BG"/>
        </w:rPr>
      </w:pPr>
      <w:r w:rsidRPr="001D11CD">
        <w:rPr>
          <w:bCs/>
          <w:lang w:val="bg-BG"/>
        </w:rPr>
        <w:fldChar w:fldCharType="begin"/>
      </w:r>
      <w:r w:rsidRPr="001D11CD">
        <w:rPr>
          <w:bCs/>
          <w:lang w:val="bg-BG"/>
        </w:rPr>
        <w:instrText xml:space="preserve"> SEQ level0 \*arabic \* MERGEFORMAT </w:instrText>
      </w:r>
      <w:r w:rsidRPr="001D11CD">
        <w:rPr>
          <w:bCs/>
          <w:lang w:val="bg-BG"/>
        </w:rPr>
        <w:fldChar w:fldCharType="separate"/>
      </w:r>
      <w:r w:rsidRPr="001D11CD">
        <w:rPr>
          <w:bCs/>
          <w:lang w:val="bg-BG"/>
        </w:rPr>
        <w:t>11</w:t>
      </w:r>
      <w:r w:rsidRPr="001D11CD">
        <w:rPr>
          <w:bCs/>
          <w:lang w:val="bg-BG"/>
        </w:rPr>
        <w:fldChar w:fldCharType="end"/>
      </w:r>
      <w:bookmarkEnd w:id="3"/>
      <w:r w:rsidRPr="001D11CD">
        <w:rPr>
          <w:bCs/>
          <w:lang w:val="bg-BG"/>
        </w:rPr>
        <w:t>.  </w:t>
      </w:r>
      <w:r w:rsidR="00F50C25" w:rsidRPr="001D11CD">
        <w:rPr>
          <w:bCs/>
          <w:lang w:val="bg-BG"/>
        </w:rPr>
        <w:t xml:space="preserve">И накрая, в материалите по делото се съдържат редица </w:t>
      </w:r>
      <w:r w:rsidR="00832C85">
        <w:rPr>
          <w:bCs/>
          <w:lang w:val="bg-BG"/>
        </w:rPr>
        <w:t>постановления</w:t>
      </w:r>
      <w:r w:rsidR="00832C85" w:rsidRPr="001D11CD">
        <w:rPr>
          <w:bCs/>
          <w:lang w:val="bg-BG"/>
        </w:rPr>
        <w:t xml:space="preserve"> </w:t>
      </w:r>
      <w:r w:rsidR="00F50C25" w:rsidRPr="001D11CD">
        <w:rPr>
          <w:bCs/>
          <w:lang w:val="bg-BG"/>
        </w:rPr>
        <w:t xml:space="preserve">на областни управители от същия период за налагане на подобни санкции на други кандидати от ДПС за извършени нарушения по повод различни </w:t>
      </w:r>
      <w:r w:rsidR="00832C85">
        <w:rPr>
          <w:bCs/>
          <w:lang w:val="bg-BG"/>
        </w:rPr>
        <w:t xml:space="preserve">други </w:t>
      </w:r>
      <w:r w:rsidR="00F50C25" w:rsidRPr="001D11CD">
        <w:rPr>
          <w:bCs/>
          <w:lang w:val="bg-BG"/>
        </w:rPr>
        <w:t>събития, организирани по време на предизборна кампания.</w:t>
      </w:r>
    </w:p>
    <w:p w14:paraId="3DB0F59C" w14:textId="2CB3D680" w:rsidR="000B760F" w:rsidRPr="001D11CD" w:rsidRDefault="000B760F" w:rsidP="000B760F">
      <w:pPr>
        <w:pStyle w:val="JuPara"/>
        <w:rPr>
          <w:bCs/>
          <w:lang w:val="bg-BG"/>
        </w:rPr>
      </w:pPr>
    </w:p>
    <w:p w14:paraId="48CB3DE9" w14:textId="42D766D7" w:rsidR="000B760F" w:rsidRPr="001D11CD" w:rsidRDefault="00D747CE" w:rsidP="000B760F">
      <w:pPr>
        <w:pStyle w:val="JuHHead"/>
        <w:rPr>
          <w:lang w:val="bg-BG"/>
        </w:rPr>
      </w:pPr>
      <w:r w:rsidRPr="001D11CD">
        <w:rPr>
          <w:lang w:val="bg-BG"/>
        </w:rPr>
        <w:t>ПРИЛОЖИМО ВЪТРЕШНО ПРАВО И СЪДЕБНА ПРАКТИКА</w:t>
      </w:r>
    </w:p>
    <w:p w14:paraId="3812DE20" w14:textId="5799AF54" w:rsidR="000B760F" w:rsidRPr="001D11CD" w:rsidRDefault="00D747CE" w:rsidP="000B760F">
      <w:pPr>
        <w:pStyle w:val="JuHIRoman"/>
        <w:rPr>
          <w:lang w:val="bg-BG"/>
        </w:rPr>
      </w:pPr>
      <w:r w:rsidRPr="001D11CD">
        <w:rPr>
          <w:lang w:val="bg-BG"/>
        </w:rPr>
        <w:t xml:space="preserve">КОНСТИТУЦИЯ НА </w:t>
      </w:r>
      <w:r w:rsidR="007D33E1" w:rsidRPr="001D11CD">
        <w:rPr>
          <w:lang w:val="bg-BG"/>
        </w:rPr>
        <w:t>република</w:t>
      </w:r>
      <w:r w:rsidR="000B760F" w:rsidRPr="001D11CD">
        <w:rPr>
          <w:lang w:val="bg-BG"/>
        </w:rPr>
        <w:t xml:space="preserve"> България </w:t>
      </w:r>
      <w:r w:rsidRPr="001D11CD">
        <w:rPr>
          <w:lang w:val="bg-BG"/>
        </w:rPr>
        <w:t xml:space="preserve">И ЗАКОН ЗА КОНСТИТУЦИОННИЯ </w:t>
      </w:r>
      <w:r w:rsidR="007D33E1" w:rsidRPr="001D11CD">
        <w:rPr>
          <w:lang w:val="bg-BG"/>
        </w:rPr>
        <w:t>Съд</w:t>
      </w:r>
    </w:p>
    <w:bookmarkStart w:id="4" w:name="Para12new"/>
    <w:p w14:paraId="7669715E" w14:textId="627F737E" w:rsidR="00F72D9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12</w:t>
      </w:r>
      <w:r w:rsidRPr="001D11CD">
        <w:rPr>
          <w:lang w:val="bg-BG"/>
        </w:rPr>
        <w:fldChar w:fldCharType="end"/>
      </w:r>
      <w:bookmarkEnd w:id="4"/>
      <w:r w:rsidRPr="001D11CD">
        <w:rPr>
          <w:lang w:val="bg-BG"/>
        </w:rPr>
        <w:t>.  </w:t>
      </w:r>
      <w:r w:rsidR="00F72D9F" w:rsidRPr="001D11CD">
        <w:rPr>
          <w:lang w:val="bg-BG"/>
        </w:rPr>
        <w:t>Член 150, алинея 1 от Конституцията от 1991 година и член 12, алинея 1, точка 2 от З</w:t>
      </w:r>
      <w:r w:rsidR="007D6465" w:rsidRPr="001D11CD">
        <w:rPr>
          <w:lang w:val="bg-BG"/>
        </w:rPr>
        <w:t>акона за К</w:t>
      </w:r>
      <w:r w:rsidR="00F72D9F" w:rsidRPr="001D11CD">
        <w:rPr>
          <w:lang w:val="bg-BG"/>
        </w:rPr>
        <w:t xml:space="preserve">онституционния съд предвиждат, че този съд може да бъде сезиран по инициатива на най-малко една пета от депутатите с искане </w:t>
      </w:r>
      <w:r w:rsidR="00BC52B7" w:rsidRPr="001D11CD">
        <w:rPr>
          <w:lang w:val="bg-BG"/>
        </w:rPr>
        <w:t>—</w:t>
      </w:r>
      <w:r w:rsidR="00F72D9F" w:rsidRPr="001D11CD">
        <w:rPr>
          <w:lang w:val="bg-BG"/>
        </w:rPr>
        <w:t xml:space="preserve"> наред с други </w:t>
      </w:r>
      <w:r w:rsidR="00BC52B7" w:rsidRPr="001D11CD">
        <w:rPr>
          <w:lang w:val="bg-BG"/>
        </w:rPr>
        <w:t>—</w:t>
      </w:r>
      <w:r w:rsidR="00F72D9F" w:rsidRPr="001D11CD">
        <w:rPr>
          <w:lang w:val="bg-BG"/>
        </w:rPr>
        <w:t xml:space="preserve"> за </w:t>
      </w:r>
      <w:r w:rsidR="004D57DD" w:rsidRPr="001D11CD">
        <w:rPr>
          <w:lang w:val="bg-BG"/>
        </w:rPr>
        <w:t xml:space="preserve">установяване на </w:t>
      </w:r>
      <w:proofErr w:type="spellStart"/>
      <w:r w:rsidR="004D57DD" w:rsidRPr="001D11CD">
        <w:rPr>
          <w:lang w:val="bg-BG"/>
        </w:rPr>
        <w:t>противоконституционност</w:t>
      </w:r>
      <w:proofErr w:type="spellEnd"/>
      <w:r w:rsidR="00F72D9F" w:rsidRPr="001D11CD">
        <w:rPr>
          <w:lang w:val="bg-BG"/>
        </w:rPr>
        <w:t xml:space="preserve"> на даден закон.</w:t>
      </w:r>
    </w:p>
    <w:bookmarkStart w:id="5" w:name="Para13new"/>
    <w:p w14:paraId="16739CE7" w14:textId="6ADACAD4" w:rsidR="00F72D9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13</w:t>
      </w:r>
      <w:r w:rsidRPr="001D11CD">
        <w:rPr>
          <w:lang w:val="bg-BG"/>
        </w:rPr>
        <w:fldChar w:fldCharType="end"/>
      </w:r>
      <w:bookmarkEnd w:id="5"/>
      <w:r w:rsidRPr="001D11CD">
        <w:rPr>
          <w:lang w:val="bg-BG"/>
        </w:rPr>
        <w:t>.  </w:t>
      </w:r>
      <w:r w:rsidR="00F72D9F" w:rsidRPr="001D11CD">
        <w:rPr>
          <w:lang w:val="bg-BG"/>
        </w:rPr>
        <w:t xml:space="preserve">Конституционният съд се произнася с решение по същество по искането, съгласно член 14, алинея 2 от Закона за </w:t>
      </w:r>
      <w:r w:rsidR="007D6465" w:rsidRPr="001D11CD">
        <w:rPr>
          <w:lang w:val="bg-BG"/>
        </w:rPr>
        <w:t>К</w:t>
      </w:r>
      <w:r w:rsidR="00F72D9F" w:rsidRPr="001D11CD">
        <w:rPr>
          <w:lang w:val="bg-BG"/>
        </w:rPr>
        <w:t xml:space="preserve">онституционния съд. </w:t>
      </w:r>
      <w:r w:rsidR="00CB06CA" w:rsidRPr="001D11CD">
        <w:rPr>
          <w:lang w:val="bg-BG"/>
        </w:rPr>
        <w:t>Съгласно ч</w:t>
      </w:r>
      <w:r w:rsidR="00F72D9F" w:rsidRPr="001D11CD">
        <w:rPr>
          <w:lang w:val="bg-BG"/>
        </w:rPr>
        <w:t>лен 151, алинея 2 от Конституцията от 1991</w:t>
      </w:r>
      <w:r w:rsidR="00BC52B7" w:rsidRPr="001D11CD">
        <w:rPr>
          <w:lang w:val="bg-BG"/>
        </w:rPr>
        <w:t> </w:t>
      </w:r>
      <w:r w:rsidR="00F72D9F" w:rsidRPr="001D11CD">
        <w:rPr>
          <w:lang w:val="bg-BG"/>
        </w:rPr>
        <w:t xml:space="preserve">година решенията на </w:t>
      </w:r>
      <w:r w:rsidR="00CB06CA" w:rsidRPr="001D11CD">
        <w:rPr>
          <w:lang w:val="bg-BG"/>
        </w:rPr>
        <w:t>К</w:t>
      </w:r>
      <w:r w:rsidR="00F72D9F" w:rsidRPr="001D11CD">
        <w:rPr>
          <w:lang w:val="bg-BG"/>
        </w:rPr>
        <w:t xml:space="preserve">онституционния </w:t>
      </w:r>
      <w:r w:rsidR="00CB06CA" w:rsidRPr="001D11CD">
        <w:rPr>
          <w:lang w:val="bg-BG"/>
        </w:rPr>
        <w:t>с</w:t>
      </w:r>
      <w:r w:rsidR="00F72D9F" w:rsidRPr="001D11CD">
        <w:rPr>
          <w:lang w:val="bg-BG"/>
        </w:rPr>
        <w:t xml:space="preserve">ъд влизат в сила три дни след </w:t>
      </w:r>
      <w:r w:rsidR="00CB06CA" w:rsidRPr="001D11CD">
        <w:rPr>
          <w:lang w:val="bg-BG"/>
        </w:rPr>
        <w:t>обнародването</w:t>
      </w:r>
      <w:r w:rsidR="00F72D9F" w:rsidRPr="001D11CD">
        <w:rPr>
          <w:lang w:val="bg-BG"/>
        </w:rPr>
        <w:t xml:space="preserve"> им в </w:t>
      </w:r>
      <w:r w:rsidR="00CB06CA" w:rsidRPr="001D11CD">
        <w:rPr>
          <w:lang w:val="bg-BG"/>
        </w:rPr>
        <w:t>„</w:t>
      </w:r>
      <w:r w:rsidR="00F72D9F" w:rsidRPr="001D11CD">
        <w:rPr>
          <w:lang w:val="bg-BG"/>
        </w:rPr>
        <w:t>Държавен вестник</w:t>
      </w:r>
      <w:r w:rsidR="00CB06CA" w:rsidRPr="001D11CD">
        <w:rPr>
          <w:lang w:val="bg-BG"/>
        </w:rPr>
        <w:t>“</w:t>
      </w:r>
      <w:r w:rsidR="00F72D9F" w:rsidRPr="001D11CD">
        <w:rPr>
          <w:lang w:val="bg-BG"/>
        </w:rPr>
        <w:t xml:space="preserve">, от който момент актовете или </w:t>
      </w:r>
      <w:r w:rsidR="00CB06CA" w:rsidRPr="001D11CD">
        <w:rPr>
          <w:lang w:val="bg-BG"/>
        </w:rPr>
        <w:t>частите от актове</w:t>
      </w:r>
      <w:r w:rsidR="00F72D9F" w:rsidRPr="001D11CD">
        <w:rPr>
          <w:lang w:val="bg-BG"/>
        </w:rPr>
        <w:t>, обявени за противоконституционни, вече не се прилагат. От тези разпоредби следва, че решени</w:t>
      </w:r>
      <w:r w:rsidR="00CB06CA" w:rsidRPr="001D11CD">
        <w:rPr>
          <w:lang w:val="bg-BG"/>
        </w:rPr>
        <w:t>ята</w:t>
      </w:r>
      <w:r w:rsidR="00F72D9F" w:rsidRPr="001D11CD">
        <w:rPr>
          <w:lang w:val="bg-BG"/>
        </w:rPr>
        <w:t xml:space="preserve"> на </w:t>
      </w:r>
      <w:r w:rsidR="00CB06CA" w:rsidRPr="001D11CD">
        <w:rPr>
          <w:lang w:val="bg-BG"/>
        </w:rPr>
        <w:t>К</w:t>
      </w:r>
      <w:r w:rsidR="00F72D9F" w:rsidRPr="001D11CD">
        <w:rPr>
          <w:lang w:val="bg-BG"/>
        </w:rPr>
        <w:t>онституционния Съд има</w:t>
      </w:r>
      <w:r w:rsidR="00CB06CA" w:rsidRPr="001D11CD">
        <w:rPr>
          <w:lang w:val="bg-BG"/>
        </w:rPr>
        <w:t>т</w:t>
      </w:r>
      <w:r w:rsidR="00F72D9F" w:rsidRPr="001D11CD">
        <w:rPr>
          <w:lang w:val="bg-BG"/>
        </w:rPr>
        <w:t xml:space="preserve"> действие само за в бъдеще.</w:t>
      </w:r>
    </w:p>
    <w:p w14:paraId="212C8575" w14:textId="45C48D2B" w:rsidR="000B760F" w:rsidRPr="001D11CD" w:rsidRDefault="00F51E6E" w:rsidP="000B760F">
      <w:pPr>
        <w:pStyle w:val="JuHIRoman"/>
        <w:rPr>
          <w:lang w:val="bg-BG"/>
        </w:rPr>
      </w:pPr>
      <w:r w:rsidRPr="001D11CD">
        <w:rPr>
          <w:lang w:val="bg-BG"/>
        </w:rPr>
        <w:t>ИЗБОРНО ЗАКОНОДАТЕЛСТВО</w:t>
      </w:r>
    </w:p>
    <w:p w14:paraId="44089E4A" w14:textId="3656E842"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14</w:t>
      </w:r>
      <w:r w:rsidRPr="001D11CD">
        <w:rPr>
          <w:lang w:val="bg-BG"/>
        </w:rPr>
        <w:fldChar w:fldCharType="end"/>
      </w:r>
      <w:r w:rsidRPr="001D11CD">
        <w:rPr>
          <w:lang w:val="bg-BG"/>
        </w:rPr>
        <w:t>.  </w:t>
      </w:r>
      <w:r w:rsidR="00F51E6E" w:rsidRPr="001D11CD">
        <w:rPr>
          <w:lang w:val="bg-BG"/>
        </w:rPr>
        <w:t>Съответните части от Изборния кодекс от 2011</w:t>
      </w:r>
      <w:r w:rsidR="00BC52B7" w:rsidRPr="001D11CD">
        <w:rPr>
          <w:lang w:val="bg-BG"/>
        </w:rPr>
        <w:t> г.</w:t>
      </w:r>
      <w:r w:rsidR="00F51E6E" w:rsidRPr="001D11CD">
        <w:rPr>
          <w:lang w:val="bg-BG"/>
        </w:rPr>
        <w:t xml:space="preserve"> гласят следното в редакцията им, която е </w:t>
      </w:r>
      <w:r w:rsidR="007D6465" w:rsidRPr="001D11CD">
        <w:rPr>
          <w:lang w:val="bg-BG"/>
        </w:rPr>
        <w:t xml:space="preserve">била </w:t>
      </w:r>
      <w:r w:rsidR="00F51E6E" w:rsidRPr="001D11CD">
        <w:rPr>
          <w:lang w:val="bg-BG"/>
        </w:rPr>
        <w:t>в сила към момента на събитията</w:t>
      </w:r>
      <w:r w:rsidRPr="001D11CD">
        <w:rPr>
          <w:lang w:val="bg-BG"/>
        </w:rPr>
        <w:t>:</w:t>
      </w:r>
    </w:p>
    <w:p w14:paraId="19AD4CFC" w14:textId="56946771" w:rsidR="000B760F" w:rsidRPr="001D11CD" w:rsidRDefault="00F51E6E" w:rsidP="000B760F">
      <w:pPr>
        <w:pStyle w:val="JuHArticle"/>
        <w:rPr>
          <w:lang w:val="bg-BG"/>
        </w:rPr>
      </w:pPr>
      <w:r w:rsidRPr="001D11CD">
        <w:rPr>
          <w:lang w:val="bg-BG"/>
        </w:rPr>
        <w:t>Предизборна кампания</w:t>
      </w:r>
    </w:p>
    <w:p w14:paraId="286F19B1" w14:textId="371CB9A9" w:rsidR="000B760F" w:rsidRPr="001D11CD" w:rsidRDefault="001A14B1" w:rsidP="000B760F">
      <w:pPr>
        <w:pStyle w:val="JuHArticle"/>
        <w:rPr>
          <w:lang w:val="bg-BG"/>
        </w:rPr>
      </w:pPr>
      <w:r w:rsidRPr="001D11CD">
        <w:rPr>
          <w:lang w:val="bg-BG"/>
        </w:rPr>
        <w:t>Член</w:t>
      </w:r>
      <w:r w:rsidR="000B760F" w:rsidRPr="001D11CD">
        <w:rPr>
          <w:lang w:val="bg-BG"/>
        </w:rPr>
        <w:t xml:space="preserve"> 133</w:t>
      </w:r>
    </w:p>
    <w:p w14:paraId="49397357" w14:textId="61EE72FE" w:rsidR="000B760F" w:rsidRPr="001D11CD" w:rsidRDefault="00F51E6E" w:rsidP="000B760F">
      <w:pPr>
        <w:pStyle w:val="JuQuot"/>
        <w:rPr>
          <w:lang w:val="bg-BG"/>
        </w:rPr>
      </w:pPr>
      <w:r w:rsidRPr="001D11CD">
        <w:rPr>
          <w:lang w:val="bg-BG"/>
        </w:rPr>
        <w:t>„</w:t>
      </w:r>
      <w:r w:rsidR="000B760F" w:rsidRPr="001D11CD">
        <w:rPr>
          <w:lang w:val="bg-BG"/>
        </w:rPr>
        <w:t xml:space="preserve">(...) 2) </w:t>
      </w:r>
      <w:r w:rsidRPr="001D11CD">
        <w:rPr>
          <w:lang w:val="bg-BG"/>
        </w:rPr>
        <w:t>Предизборната кампания се води на български език.“</w:t>
      </w:r>
    </w:p>
    <w:p w14:paraId="3C0ABADB" w14:textId="2487E0AD" w:rsidR="000B760F" w:rsidRPr="001D11CD" w:rsidRDefault="001A14B1" w:rsidP="000B760F">
      <w:pPr>
        <w:pStyle w:val="JuHArticle"/>
        <w:rPr>
          <w:lang w:val="bg-BG"/>
        </w:rPr>
      </w:pPr>
      <w:r w:rsidRPr="001D11CD">
        <w:rPr>
          <w:lang w:val="bg-BG"/>
        </w:rPr>
        <w:t>Член</w:t>
      </w:r>
      <w:r w:rsidR="000B760F" w:rsidRPr="001D11CD">
        <w:rPr>
          <w:lang w:val="bg-BG"/>
        </w:rPr>
        <w:t xml:space="preserve"> 299</w:t>
      </w:r>
    </w:p>
    <w:p w14:paraId="02AF2CC5" w14:textId="7B3FB81F" w:rsidR="000B760F" w:rsidRPr="001D11CD" w:rsidRDefault="00F51E6E" w:rsidP="000B760F">
      <w:pPr>
        <w:pStyle w:val="JuQuot"/>
        <w:rPr>
          <w:lang w:val="bg-BG"/>
        </w:rPr>
      </w:pPr>
      <w:r w:rsidRPr="001D11CD">
        <w:rPr>
          <w:lang w:val="bg-BG"/>
        </w:rPr>
        <w:t>„</w:t>
      </w:r>
      <w:r w:rsidR="000B760F" w:rsidRPr="001D11CD">
        <w:rPr>
          <w:lang w:val="bg-BG"/>
        </w:rPr>
        <w:t>(...)</w:t>
      </w:r>
      <w:r w:rsidR="00863225" w:rsidRPr="001D11CD">
        <w:rPr>
          <w:lang w:val="bg-BG"/>
        </w:rPr>
        <w:t xml:space="preserve"> </w:t>
      </w:r>
      <w:r w:rsidR="00BC52B7" w:rsidRPr="001D11CD">
        <w:rPr>
          <w:lang w:val="bg-BG"/>
        </w:rPr>
        <w:t>Който</w:t>
      </w:r>
      <w:r w:rsidRPr="001D11CD">
        <w:rPr>
          <w:lang w:val="bg-BG"/>
        </w:rPr>
        <w:t xml:space="preserve"> наруши разпоредба</w:t>
      </w:r>
      <w:r w:rsidR="00BC52B7" w:rsidRPr="001D11CD">
        <w:rPr>
          <w:lang w:val="bg-BG"/>
        </w:rPr>
        <w:t>та</w:t>
      </w:r>
      <w:r w:rsidRPr="001D11CD">
        <w:rPr>
          <w:lang w:val="bg-BG"/>
        </w:rPr>
        <w:t xml:space="preserve"> на </w:t>
      </w:r>
      <w:r w:rsidR="00BC52B7" w:rsidRPr="001D11CD">
        <w:rPr>
          <w:lang w:val="bg-BG"/>
        </w:rPr>
        <w:t xml:space="preserve">този </w:t>
      </w:r>
      <w:r w:rsidRPr="001D11CD">
        <w:rPr>
          <w:lang w:val="bg-BG"/>
        </w:rPr>
        <w:t xml:space="preserve">кодекс </w:t>
      </w:r>
      <w:r w:rsidR="00863225" w:rsidRPr="001D11CD">
        <w:rPr>
          <w:lang w:val="bg-BG"/>
        </w:rPr>
        <w:t>(...)</w:t>
      </w:r>
      <w:r w:rsidRPr="001D11CD">
        <w:rPr>
          <w:lang w:val="bg-BG"/>
        </w:rPr>
        <w:t xml:space="preserve">, се </w:t>
      </w:r>
      <w:r w:rsidR="00BC52B7" w:rsidRPr="001D11CD">
        <w:rPr>
          <w:lang w:val="bg-BG"/>
        </w:rPr>
        <w:t>наказва с</w:t>
      </w:r>
      <w:r w:rsidRPr="001D11CD">
        <w:rPr>
          <w:lang w:val="bg-BG"/>
        </w:rPr>
        <w:t xml:space="preserve"> глоба</w:t>
      </w:r>
      <w:r w:rsidR="00BC52B7" w:rsidRPr="001D11CD">
        <w:rPr>
          <w:lang w:val="bg-BG"/>
        </w:rPr>
        <w:t>, (…),</w:t>
      </w:r>
      <w:r w:rsidRPr="001D11CD">
        <w:rPr>
          <w:lang w:val="bg-BG"/>
        </w:rPr>
        <w:t xml:space="preserve"> </w:t>
      </w:r>
      <w:r w:rsidR="00863225" w:rsidRPr="001D11CD">
        <w:rPr>
          <w:lang w:val="bg-BG"/>
        </w:rPr>
        <w:t>от</w:t>
      </w:r>
      <w:r w:rsidR="000B760F" w:rsidRPr="001D11CD">
        <w:rPr>
          <w:lang w:val="bg-BG"/>
        </w:rPr>
        <w:t xml:space="preserve"> 200 </w:t>
      </w:r>
      <w:r w:rsidR="00863225" w:rsidRPr="001D11CD">
        <w:rPr>
          <w:lang w:val="bg-BG"/>
        </w:rPr>
        <w:t>до</w:t>
      </w:r>
      <w:r w:rsidR="000B760F" w:rsidRPr="001D11CD">
        <w:rPr>
          <w:lang w:val="bg-BG"/>
        </w:rPr>
        <w:t xml:space="preserve"> 2000 </w:t>
      </w:r>
      <w:r w:rsidR="00863225" w:rsidRPr="001D11CD">
        <w:rPr>
          <w:lang w:val="bg-BG"/>
        </w:rPr>
        <w:t>лева</w:t>
      </w:r>
      <w:r w:rsidR="000B760F" w:rsidRPr="001D11CD">
        <w:rPr>
          <w:lang w:val="bg-BG"/>
        </w:rPr>
        <w:t>.</w:t>
      </w:r>
      <w:r w:rsidR="00863225" w:rsidRPr="001D11CD">
        <w:rPr>
          <w:lang w:val="bg-BG"/>
        </w:rPr>
        <w:t>“</w:t>
      </w:r>
    </w:p>
    <w:p w14:paraId="180F5AF5" w14:textId="673A94E3" w:rsidR="009939BC"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15</w:t>
      </w:r>
      <w:r w:rsidRPr="001D11CD">
        <w:rPr>
          <w:lang w:val="bg-BG"/>
        </w:rPr>
        <w:fldChar w:fldCharType="end"/>
      </w:r>
      <w:r w:rsidR="000B760F" w:rsidRPr="001D11CD">
        <w:rPr>
          <w:lang w:val="bg-BG"/>
        </w:rPr>
        <w:t>.  </w:t>
      </w:r>
      <w:r w:rsidR="009939BC" w:rsidRPr="001D11CD">
        <w:rPr>
          <w:lang w:val="bg-BG"/>
        </w:rPr>
        <w:t>В Изборния кодекс от 2014</w:t>
      </w:r>
      <w:r w:rsidR="00BC52B7" w:rsidRPr="001D11CD">
        <w:rPr>
          <w:lang w:val="bg-BG"/>
        </w:rPr>
        <w:t> </w:t>
      </w:r>
      <w:r w:rsidR="009939BC" w:rsidRPr="001D11CD">
        <w:rPr>
          <w:lang w:val="bg-BG"/>
        </w:rPr>
        <w:t xml:space="preserve">година тези разпоредби са възпроизведени съответно в член 181, алинея 2 и член 495, алинея 1. Той предвижда също така, че </w:t>
      </w:r>
      <w:r w:rsidR="003504DC" w:rsidRPr="001D11CD">
        <w:rPr>
          <w:lang w:val="bg-BG"/>
        </w:rPr>
        <w:t>п</w:t>
      </w:r>
      <w:r w:rsidR="009939BC" w:rsidRPr="001D11CD">
        <w:rPr>
          <w:lang w:val="bg-BG"/>
        </w:rPr>
        <w:t xml:space="preserve">редизборната кампания се открива тридесет </w:t>
      </w:r>
      <w:r w:rsidR="00BC52B7" w:rsidRPr="001D11CD">
        <w:rPr>
          <w:lang w:val="bg-BG"/>
        </w:rPr>
        <w:t>дни преди изборния ден (член </w:t>
      </w:r>
      <w:r w:rsidR="009939BC" w:rsidRPr="001D11CD">
        <w:rPr>
          <w:lang w:val="bg-BG"/>
        </w:rPr>
        <w:t xml:space="preserve">175). </w:t>
      </w:r>
      <w:r w:rsidR="00FE2672" w:rsidRPr="001D11CD">
        <w:rPr>
          <w:lang w:val="bg-BG"/>
        </w:rPr>
        <w:t>Наред</w:t>
      </w:r>
      <w:r w:rsidR="003504DC" w:rsidRPr="001D11CD">
        <w:rPr>
          <w:lang w:val="bg-BG"/>
        </w:rPr>
        <w:t xml:space="preserve"> с това т</w:t>
      </w:r>
      <w:r w:rsidR="009939BC" w:rsidRPr="001D11CD">
        <w:rPr>
          <w:lang w:val="bg-BG"/>
        </w:rPr>
        <w:t xml:space="preserve">ой </w:t>
      </w:r>
      <w:r w:rsidR="003504DC" w:rsidRPr="001D11CD">
        <w:rPr>
          <w:lang w:val="bg-BG"/>
        </w:rPr>
        <w:t>дефинира „</w:t>
      </w:r>
      <w:r w:rsidR="009939BC" w:rsidRPr="001D11CD">
        <w:rPr>
          <w:lang w:val="bg-BG"/>
        </w:rPr>
        <w:t>предизборна</w:t>
      </w:r>
      <w:r w:rsidR="003504DC" w:rsidRPr="001D11CD">
        <w:rPr>
          <w:lang w:val="bg-BG"/>
        </w:rPr>
        <w:t>та</w:t>
      </w:r>
      <w:r w:rsidR="009939BC" w:rsidRPr="001D11CD">
        <w:rPr>
          <w:lang w:val="bg-BG"/>
        </w:rPr>
        <w:t xml:space="preserve"> агитация</w:t>
      </w:r>
      <w:r w:rsidR="003504DC" w:rsidRPr="001D11CD">
        <w:rPr>
          <w:lang w:val="bg-BG"/>
        </w:rPr>
        <w:t>“</w:t>
      </w:r>
      <w:r w:rsidR="009939BC" w:rsidRPr="001D11CD">
        <w:rPr>
          <w:lang w:val="bg-BG"/>
        </w:rPr>
        <w:t xml:space="preserve"> като </w:t>
      </w:r>
      <w:r w:rsidR="003504DC" w:rsidRPr="001D11CD">
        <w:rPr>
          <w:lang w:val="bg-BG"/>
        </w:rPr>
        <w:t xml:space="preserve">призив за подкрепа или </w:t>
      </w:r>
      <w:r w:rsidR="00AA3B14" w:rsidRPr="001D11CD">
        <w:rPr>
          <w:lang w:val="bg-BG"/>
        </w:rPr>
        <w:t xml:space="preserve">за </w:t>
      </w:r>
      <w:proofErr w:type="spellStart"/>
      <w:r w:rsidR="003504DC" w:rsidRPr="001D11CD">
        <w:rPr>
          <w:lang w:val="bg-BG"/>
        </w:rPr>
        <w:t>неподкрепа</w:t>
      </w:r>
      <w:proofErr w:type="spellEnd"/>
      <w:r w:rsidR="003504DC" w:rsidRPr="001D11CD">
        <w:rPr>
          <w:lang w:val="bg-BG"/>
        </w:rPr>
        <w:t xml:space="preserve"> на кандидат, партия, коалиция или инициативен комитет</w:t>
      </w:r>
      <w:r w:rsidR="009939BC" w:rsidRPr="001D11CD">
        <w:rPr>
          <w:lang w:val="bg-BG"/>
        </w:rPr>
        <w:t xml:space="preserve"> (§ 1, точка 17 от допълнителните разпоредби).</w:t>
      </w:r>
    </w:p>
    <w:p w14:paraId="7DCA3C3B" w14:textId="410F16DE" w:rsidR="000B760F" w:rsidRPr="001D11CD" w:rsidRDefault="003504DC" w:rsidP="000B760F">
      <w:pPr>
        <w:pStyle w:val="JuHIRoman"/>
        <w:rPr>
          <w:lang w:val="bg-BG"/>
        </w:rPr>
      </w:pPr>
      <w:r w:rsidRPr="001D11CD">
        <w:rPr>
          <w:lang w:val="bg-BG"/>
        </w:rPr>
        <w:t>ПРИЛОЖИМА СЪДЕБНА ПРАКТИКА</w:t>
      </w:r>
    </w:p>
    <w:bookmarkStart w:id="6" w:name="Para14"/>
    <w:p w14:paraId="5275A895" w14:textId="56CD327D" w:rsidR="000B760F" w:rsidRPr="001D11CD" w:rsidRDefault="000B760F" w:rsidP="000B760F">
      <w:pPr>
        <w:pStyle w:val="JuPara"/>
        <w:rPr>
          <w:i/>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16</w:t>
      </w:r>
      <w:r w:rsidRPr="001D11CD">
        <w:rPr>
          <w:lang w:val="bg-BG"/>
        </w:rPr>
        <w:fldChar w:fldCharType="end"/>
      </w:r>
      <w:bookmarkEnd w:id="6"/>
      <w:r w:rsidRPr="001D11CD">
        <w:rPr>
          <w:lang w:val="bg-BG"/>
        </w:rPr>
        <w:t>.  </w:t>
      </w:r>
      <w:r w:rsidR="003504DC" w:rsidRPr="001D11CD">
        <w:rPr>
          <w:iCs/>
          <w:lang w:val="bg-BG"/>
        </w:rPr>
        <w:t>Съгласно националната</w:t>
      </w:r>
      <w:r w:rsidRPr="001D11CD">
        <w:rPr>
          <w:iCs/>
          <w:lang w:val="bg-BG"/>
        </w:rPr>
        <w:t xml:space="preserve"> </w:t>
      </w:r>
      <w:r w:rsidR="003504DC" w:rsidRPr="001D11CD">
        <w:rPr>
          <w:iCs/>
          <w:lang w:val="bg-BG"/>
        </w:rPr>
        <w:t>съдебна практика</w:t>
      </w:r>
      <w:r w:rsidRPr="001D11CD">
        <w:rPr>
          <w:iCs/>
          <w:lang w:val="bg-BG"/>
        </w:rPr>
        <w:t xml:space="preserve"> </w:t>
      </w:r>
      <w:r w:rsidR="003504DC" w:rsidRPr="001D11CD">
        <w:rPr>
          <w:iCs/>
          <w:lang w:val="bg-BG"/>
        </w:rPr>
        <w:t xml:space="preserve">нормата на </w:t>
      </w:r>
      <w:r w:rsidR="001A14B1" w:rsidRPr="001D11CD">
        <w:rPr>
          <w:lang w:val="bg-BG"/>
        </w:rPr>
        <w:t>член</w:t>
      </w:r>
      <w:r w:rsidRPr="001D11CD">
        <w:rPr>
          <w:lang w:val="bg-BG"/>
        </w:rPr>
        <w:t xml:space="preserve"> 133, </w:t>
      </w:r>
      <w:r w:rsidR="003504DC" w:rsidRPr="001D11CD">
        <w:rPr>
          <w:lang w:val="bg-BG"/>
        </w:rPr>
        <w:t>алинея</w:t>
      </w:r>
      <w:r w:rsidRPr="001D11CD">
        <w:rPr>
          <w:lang w:val="bg-BG"/>
        </w:rPr>
        <w:t xml:space="preserve"> 2 </w:t>
      </w:r>
      <w:r w:rsidR="003504DC" w:rsidRPr="001D11CD">
        <w:rPr>
          <w:lang w:val="bg-BG"/>
        </w:rPr>
        <w:t>от Изборния кодекс</w:t>
      </w:r>
      <w:r w:rsidRPr="001D11CD">
        <w:rPr>
          <w:lang w:val="bg-BG"/>
        </w:rPr>
        <w:t xml:space="preserve"> </w:t>
      </w:r>
      <w:r w:rsidR="003504DC" w:rsidRPr="001D11CD">
        <w:rPr>
          <w:lang w:val="bg-BG"/>
        </w:rPr>
        <w:t>от</w:t>
      </w:r>
      <w:r w:rsidRPr="001D11CD">
        <w:rPr>
          <w:lang w:val="bg-BG"/>
        </w:rPr>
        <w:t xml:space="preserve"> 2011</w:t>
      </w:r>
      <w:r w:rsidR="001852AF" w:rsidRPr="001D11CD">
        <w:rPr>
          <w:lang w:val="bg-BG"/>
        </w:rPr>
        <w:t> година</w:t>
      </w:r>
      <w:r w:rsidR="003504DC" w:rsidRPr="001D11CD">
        <w:rPr>
          <w:lang w:val="bg-BG"/>
        </w:rPr>
        <w:t>,</w:t>
      </w:r>
      <w:r w:rsidRPr="001D11CD">
        <w:rPr>
          <w:lang w:val="bg-BG"/>
        </w:rPr>
        <w:t xml:space="preserve"> </w:t>
      </w:r>
      <w:r w:rsidR="003504DC" w:rsidRPr="001D11CD">
        <w:rPr>
          <w:lang w:val="bg-BG"/>
        </w:rPr>
        <w:t>възпроизведена в</w:t>
      </w:r>
      <w:r w:rsidRPr="001D11CD">
        <w:rPr>
          <w:lang w:val="bg-BG"/>
        </w:rPr>
        <w:t xml:space="preserve"> </w:t>
      </w:r>
      <w:r w:rsidR="001A14B1" w:rsidRPr="001D11CD">
        <w:rPr>
          <w:lang w:val="bg-BG"/>
        </w:rPr>
        <w:t>член</w:t>
      </w:r>
      <w:r w:rsidRPr="001D11CD">
        <w:rPr>
          <w:lang w:val="bg-BG"/>
        </w:rPr>
        <w:t xml:space="preserve"> 181, </w:t>
      </w:r>
      <w:r w:rsidR="003504DC" w:rsidRPr="001D11CD">
        <w:rPr>
          <w:lang w:val="bg-BG"/>
        </w:rPr>
        <w:t>алинея</w:t>
      </w:r>
      <w:r w:rsidRPr="001D11CD">
        <w:rPr>
          <w:lang w:val="bg-BG"/>
        </w:rPr>
        <w:t xml:space="preserve"> 2 </w:t>
      </w:r>
      <w:r w:rsidR="003504DC" w:rsidRPr="001D11CD">
        <w:rPr>
          <w:lang w:val="bg-BG"/>
        </w:rPr>
        <w:t>от Изборния кодекс</w:t>
      </w:r>
      <w:r w:rsidRPr="001D11CD">
        <w:rPr>
          <w:lang w:val="bg-BG"/>
        </w:rPr>
        <w:t xml:space="preserve"> </w:t>
      </w:r>
      <w:r w:rsidR="003504DC" w:rsidRPr="001D11CD">
        <w:rPr>
          <w:lang w:val="bg-BG"/>
        </w:rPr>
        <w:t>от</w:t>
      </w:r>
      <w:r w:rsidRPr="001D11CD">
        <w:rPr>
          <w:lang w:val="bg-BG"/>
        </w:rPr>
        <w:t xml:space="preserve"> 2014</w:t>
      </w:r>
      <w:r w:rsidR="001852AF" w:rsidRPr="001D11CD">
        <w:rPr>
          <w:lang w:val="bg-BG"/>
        </w:rPr>
        <w:t> година</w:t>
      </w:r>
      <w:r w:rsidR="003504DC" w:rsidRPr="001D11CD">
        <w:rPr>
          <w:lang w:val="bg-BG"/>
        </w:rPr>
        <w:t>,</w:t>
      </w:r>
      <w:r w:rsidRPr="001D11CD">
        <w:rPr>
          <w:lang w:val="bg-BG"/>
        </w:rPr>
        <w:t xml:space="preserve"> </w:t>
      </w:r>
      <w:r w:rsidR="003504DC" w:rsidRPr="001D11CD">
        <w:rPr>
          <w:iCs/>
          <w:lang w:val="bg-BG"/>
        </w:rPr>
        <w:t>е импера</w:t>
      </w:r>
      <w:r w:rsidR="00C7482C" w:rsidRPr="001D11CD">
        <w:rPr>
          <w:iCs/>
          <w:lang w:val="bg-BG"/>
        </w:rPr>
        <w:t>тивна и не дава никаква свобода на интерпретация на съдилищата</w:t>
      </w:r>
      <w:r w:rsidRPr="001D11CD">
        <w:rPr>
          <w:iCs/>
          <w:lang w:val="bg-BG"/>
        </w:rPr>
        <w:t xml:space="preserve"> (</w:t>
      </w:r>
      <w:r w:rsidRPr="001D11CD">
        <w:rPr>
          <w:i/>
          <w:lang w:val="bg-BG"/>
        </w:rPr>
        <w:t>решение</w:t>
      </w:r>
      <w:r w:rsidRPr="001D11CD">
        <w:rPr>
          <w:lang w:val="bg-BG"/>
        </w:rPr>
        <w:t xml:space="preserve"> </w:t>
      </w:r>
      <w:r w:rsidRPr="001D11CD">
        <w:rPr>
          <w:i/>
          <w:lang w:val="bg-BG"/>
        </w:rPr>
        <w:t>№ 167 от 09.06.2016 г. на Адм. съд Велико Търново по адм. д. № 10120/2016</w:t>
      </w:r>
      <w:r w:rsidR="001852AF" w:rsidRPr="001D11CD">
        <w:rPr>
          <w:i/>
          <w:lang w:val="bg-BG"/>
        </w:rPr>
        <w:t> </w:t>
      </w:r>
      <w:r w:rsidRPr="001D11CD">
        <w:rPr>
          <w:i/>
          <w:lang w:val="bg-BG"/>
        </w:rPr>
        <w:t xml:space="preserve">г. </w:t>
      </w:r>
      <w:r w:rsidR="00C7482C" w:rsidRPr="001D11CD">
        <w:rPr>
          <w:lang w:val="bg-BG"/>
        </w:rPr>
        <w:t>и</w:t>
      </w:r>
      <w:r w:rsidRPr="001D11CD">
        <w:rPr>
          <w:iCs/>
          <w:lang w:val="bg-BG"/>
        </w:rPr>
        <w:t xml:space="preserve"> </w:t>
      </w:r>
      <w:r w:rsidRPr="001D11CD">
        <w:rPr>
          <w:i/>
          <w:lang w:val="bg-BG"/>
        </w:rPr>
        <w:t>решение</w:t>
      </w:r>
      <w:r w:rsidRPr="001D11CD">
        <w:rPr>
          <w:lang w:val="bg-BG"/>
        </w:rPr>
        <w:t xml:space="preserve"> </w:t>
      </w:r>
      <w:r w:rsidRPr="001D11CD">
        <w:rPr>
          <w:i/>
          <w:lang w:val="bg-BG"/>
        </w:rPr>
        <w:t>№ 7825 от 23.05.2019</w:t>
      </w:r>
      <w:r w:rsidR="001852AF" w:rsidRPr="001D11CD">
        <w:rPr>
          <w:i/>
          <w:lang w:val="bg-BG"/>
        </w:rPr>
        <w:t> </w:t>
      </w:r>
      <w:r w:rsidRPr="001D11CD">
        <w:rPr>
          <w:i/>
          <w:lang w:val="bg-BG"/>
        </w:rPr>
        <w:t>г. на ВАС по адм. д. № 5853/2019 г., IV</w:t>
      </w:r>
      <w:r w:rsidR="001852AF" w:rsidRPr="001D11CD">
        <w:rPr>
          <w:i/>
          <w:lang w:val="bg-BG"/>
        </w:rPr>
        <w:t> </w:t>
      </w:r>
      <w:r w:rsidRPr="001D11CD">
        <w:rPr>
          <w:i/>
          <w:lang w:val="bg-BG"/>
        </w:rPr>
        <w:t>о.</w:t>
      </w:r>
      <w:r w:rsidRPr="001D11CD">
        <w:rPr>
          <w:iCs/>
          <w:lang w:val="bg-BG"/>
        </w:rPr>
        <w:t xml:space="preserve">). </w:t>
      </w:r>
      <w:r w:rsidR="00C7482C" w:rsidRPr="001D11CD">
        <w:rPr>
          <w:iCs/>
          <w:lang w:val="bg-BG"/>
        </w:rPr>
        <w:t>От прегледа на някои съдебни</w:t>
      </w:r>
      <w:r w:rsidRPr="001D11CD">
        <w:rPr>
          <w:iCs/>
          <w:lang w:val="bg-BG"/>
        </w:rPr>
        <w:t xml:space="preserve"> </w:t>
      </w:r>
      <w:r w:rsidR="00156A3C" w:rsidRPr="001D11CD">
        <w:rPr>
          <w:lang w:val="bg-BG"/>
        </w:rPr>
        <w:t>решени</w:t>
      </w:r>
      <w:r w:rsidR="00C7482C" w:rsidRPr="001D11CD">
        <w:rPr>
          <w:lang w:val="bg-BG"/>
        </w:rPr>
        <w:t xml:space="preserve">я, представени от </w:t>
      </w:r>
      <w:r w:rsidR="001A14B1" w:rsidRPr="001D11CD">
        <w:rPr>
          <w:lang w:val="bg-BG"/>
        </w:rPr>
        <w:t>страните</w:t>
      </w:r>
      <w:r w:rsidR="00C7482C" w:rsidRPr="001D11CD">
        <w:rPr>
          <w:lang w:val="bg-BG"/>
        </w:rPr>
        <w:t>, е видно, че българските съдилища считат, че въпросната норма съответства на международните стандарти и на българската Конституция</w:t>
      </w:r>
      <w:r w:rsidRPr="001D11CD">
        <w:rPr>
          <w:lang w:val="bg-BG"/>
        </w:rPr>
        <w:t xml:space="preserve"> (</w:t>
      </w:r>
      <w:r w:rsidRPr="001D11CD">
        <w:rPr>
          <w:i/>
          <w:lang w:val="bg-BG"/>
        </w:rPr>
        <w:t>решение от 23.10.2020</w:t>
      </w:r>
      <w:r w:rsidR="001852AF" w:rsidRPr="001D11CD">
        <w:rPr>
          <w:i/>
          <w:lang w:val="bg-BG"/>
        </w:rPr>
        <w:t> </w:t>
      </w:r>
      <w:r w:rsidRPr="001D11CD">
        <w:rPr>
          <w:i/>
          <w:lang w:val="bg-BG"/>
        </w:rPr>
        <w:t>г. на РС – Провадия по АНД №</w:t>
      </w:r>
      <w:r w:rsidR="001852AF" w:rsidRPr="001D11CD">
        <w:rPr>
          <w:i/>
          <w:lang w:val="bg-BG"/>
        </w:rPr>
        <w:t> </w:t>
      </w:r>
      <w:r w:rsidRPr="001D11CD">
        <w:rPr>
          <w:i/>
          <w:lang w:val="bg-BG"/>
        </w:rPr>
        <w:t>163/2020</w:t>
      </w:r>
      <w:r w:rsidR="001852AF" w:rsidRPr="001D11CD">
        <w:rPr>
          <w:i/>
          <w:lang w:val="bg-BG"/>
        </w:rPr>
        <w:t> </w:t>
      </w:r>
      <w:r w:rsidRPr="001D11CD">
        <w:rPr>
          <w:i/>
          <w:lang w:val="bg-BG"/>
        </w:rPr>
        <w:t>г.).</w:t>
      </w:r>
    </w:p>
    <w:bookmarkStart w:id="7" w:name="Para15"/>
    <w:p w14:paraId="06D12D6E" w14:textId="525DF76C" w:rsidR="000B760F" w:rsidRPr="001D11CD" w:rsidRDefault="000B760F" w:rsidP="00C962FA">
      <w:pPr>
        <w:pStyle w:val="JuPara"/>
        <w:rPr>
          <w:i/>
          <w:lang w:val="bg-BG"/>
        </w:rPr>
      </w:pPr>
      <w:r w:rsidRPr="001D11CD">
        <w:rPr>
          <w:iCs/>
          <w:lang w:val="bg-BG"/>
        </w:rPr>
        <w:fldChar w:fldCharType="begin"/>
      </w:r>
      <w:r w:rsidRPr="001D11CD">
        <w:rPr>
          <w:iCs/>
          <w:lang w:val="bg-BG"/>
        </w:rPr>
        <w:instrText xml:space="preserve"> SEQ level0 \*arabic \* MERGEFORMAT </w:instrText>
      </w:r>
      <w:r w:rsidRPr="001D11CD">
        <w:rPr>
          <w:iCs/>
          <w:lang w:val="bg-BG"/>
        </w:rPr>
        <w:fldChar w:fldCharType="separate"/>
      </w:r>
      <w:r w:rsidRPr="001D11CD">
        <w:rPr>
          <w:iCs/>
          <w:lang w:val="bg-BG"/>
        </w:rPr>
        <w:t>17</w:t>
      </w:r>
      <w:r w:rsidRPr="001D11CD">
        <w:rPr>
          <w:iCs/>
          <w:lang w:val="bg-BG"/>
        </w:rPr>
        <w:fldChar w:fldCharType="end"/>
      </w:r>
      <w:bookmarkEnd w:id="7"/>
      <w:r w:rsidRPr="001D11CD">
        <w:rPr>
          <w:iCs/>
          <w:lang w:val="bg-BG"/>
        </w:rPr>
        <w:t>.  </w:t>
      </w:r>
      <w:r w:rsidR="00DA1849" w:rsidRPr="001D11CD">
        <w:rPr>
          <w:iCs/>
          <w:lang w:val="bg-BG"/>
        </w:rPr>
        <w:t xml:space="preserve">При разглеждане на жалби срещу </w:t>
      </w:r>
      <w:r w:rsidR="004071FA">
        <w:rPr>
          <w:iCs/>
          <w:lang w:val="bg-BG"/>
        </w:rPr>
        <w:t>постановления</w:t>
      </w:r>
      <w:r w:rsidR="004071FA" w:rsidRPr="001D11CD">
        <w:rPr>
          <w:iCs/>
          <w:lang w:val="bg-BG"/>
        </w:rPr>
        <w:t xml:space="preserve"> </w:t>
      </w:r>
      <w:r w:rsidR="00DA1849" w:rsidRPr="001D11CD">
        <w:rPr>
          <w:iCs/>
          <w:lang w:val="bg-BG"/>
        </w:rPr>
        <w:t xml:space="preserve">на областни управители за налагане на административни </w:t>
      </w:r>
      <w:r w:rsidR="00FB0C21" w:rsidRPr="001D11CD">
        <w:rPr>
          <w:iCs/>
          <w:lang w:val="bg-BG"/>
        </w:rPr>
        <w:t>наказания</w:t>
      </w:r>
      <w:r w:rsidR="00DA1849" w:rsidRPr="001D11CD">
        <w:rPr>
          <w:iCs/>
          <w:lang w:val="bg-BG"/>
        </w:rPr>
        <w:t xml:space="preserve"> за нарушаване на задължението за водене на предизборна кампания на български език компетентните съдилища преценяват дали решението е насочено срещу физическо лице </w:t>
      </w:r>
      <w:r w:rsidRPr="001D11CD">
        <w:rPr>
          <w:lang w:val="bg-BG"/>
        </w:rPr>
        <w:t>(</w:t>
      </w:r>
      <w:r w:rsidR="001852AF" w:rsidRPr="001D11CD">
        <w:rPr>
          <w:lang w:val="bg-BG"/>
        </w:rPr>
        <w:t>в</w:t>
      </w:r>
      <w:r w:rsidR="00DA1849" w:rsidRPr="001D11CD">
        <w:rPr>
          <w:lang w:val="bg-BG"/>
        </w:rPr>
        <w:t>ж</w:t>
      </w:r>
      <w:r w:rsidR="001852AF" w:rsidRPr="001D11CD">
        <w:rPr>
          <w:lang w:val="bg-BG"/>
        </w:rPr>
        <w:t>.</w:t>
      </w:r>
      <w:r w:rsidRPr="001D11CD">
        <w:rPr>
          <w:lang w:val="bg-BG"/>
        </w:rPr>
        <w:t xml:space="preserve"> </w:t>
      </w:r>
      <w:r w:rsidR="0090157E" w:rsidRPr="001D11CD">
        <w:rPr>
          <w:lang w:val="bg-BG"/>
        </w:rPr>
        <w:t>например</w:t>
      </w:r>
      <w:r w:rsidRPr="001D11CD">
        <w:rPr>
          <w:lang w:val="bg-BG"/>
        </w:rPr>
        <w:t xml:space="preserve"> </w:t>
      </w:r>
      <w:r w:rsidRPr="001D11CD">
        <w:rPr>
          <w:i/>
          <w:lang w:val="bg-BG"/>
        </w:rPr>
        <w:t>решение от 19.02.2020 г. на РС – Айтос по АНД № 344/2019 г.</w:t>
      </w:r>
      <w:r w:rsidRPr="001D11CD">
        <w:rPr>
          <w:iCs/>
          <w:lang w:val="bg-BG"/>
        </w:rPr>
        <w:t xml:space="preserve">, </w:t>
      </w:r>
      <w:r w:rsidR="00DA1849" w:rsidRPr="001D11CD">
        <w:rPr>
          <w:iCs/>
          <w:lang w:val="bg-BG"/>
        </w:rPr>
        <w:t>в което съдът е приел, че само физически лица могат да бъдат санкционирани за въпросното нарушение</w:t>
      </w:r>
      <w:r w:rsidR="00460576" w:rsidRPr="001D11CD">
        <w:rPr>
          <w:iCs/>
          <w:lang w:val="bg-BG"/>
        </w:rPr>
        <w:t>)</w:t>
      </w:r>
      <w:r w:rsidRPr="001D11CD">
        <w:rPr>
          <w:iCs/>
          <w:lang w:val="bg-BG"/>
        </w:rPr>
        <w:t xml:space="preserve">; </w:t>
      </w:r>
      <w:r w:rsidR="0016113E" w:rsidRPr="001D11CD">
        <w:rPr>
          <w:iCs/>
          <w:lang w:val="bg-BG"/>
        </w:rPr>
        <w:t>те определят от друга страна дали процесната реч, произнесена на език, различен от българския, е предизборна агитация</w:t>
      </w:r>
      <w:r w:rsidRPr="001D11CD">
        <w:rPr>
          <w:lang w:val="bg-BG"/>
        </w:rPr>
        <w:t xml:space="preserve"> (</w:t>
      </w:r>
      <w:r w:rsidRPr="001D11CD">
        <w:rPr>
          <w:i/>
          <w:lang w:val="bg-BG"/>
        </w:rPr>
        <w:t>решение</w:t>
      </w:r>
      <w:r w:rsidR="001852AF" w:rsidRPr="001D11CD">
        <w:rPr>
          <w:i/>
          <w:lang w:val="bg-BG"/>
        </w:rPr>
        <w:t xml:space="preserve"> от 18.12.2019 </w:t>
      </w:r>
      <w:r w:rsidRPr="001D11CD">
        <w:rPr>
          <w:i/>
          <w:lang w:val="bg-BG"/>
        </w:rPr>
        <w:t>г. на РС – Силистра по АНД № 750/2019</w:t>
      </w:r>
      <w:r w:rsidR="001852AF" w:rsidRPr="001D11CD">
        <w:rPr>
          <w:i/>
          <w:lang w:val="bg-BG"/>
        </w:rPr>
        <w:t> </w:t>
      </w:r>
      <w:r w:rsidRPr="001D11CD">
        <w:rPr>
          <w:i/>
          <w:lang w:val="bg-BG"/>
        </w:rPr>
        <w:t>г.</w:t>
      </w:r>
      <w:r w:rsidRPr="001D11CD">
        <w:rPr>
          <w:lang w:val="bg-BG"/>
        </w:rPr>
        <w:t xml:space="preserve">, </w:t>
      </w:r>
      <w:r w:rsidRPr="001D11CD">
        <w:rPr>
          <w:i/>
          <w:lang w:val="bg-BG"/>
        </w:rPr>
        <w:t>решение от 28.01.2020</w:t>
      </w:r>
      <w:r w:rsidR="001852AF" w:rsidRPr="001D11CD">
        <w:rPr>
          <w:i/>
          <w:lang w:val="bg-BG"/>
        </w:rPr>
        <w:t> </w:t>
      </w:r>
      <w:r w:rsidRPr="001D11CD">
        <w:rPr>
          <w:i/>
          <w:lang w:val="bg-BG"/>
        </w:rPr>
        <w:t>г. на РC – Айтос по АНД № 381/2019</w:t>
      </w:r>
      <w:r w:rsidR="001852AF" w:rsidRPr="001D11CD">
        <w:rPr>
          <w:i/>
          <w:lang w:val="bg-BG"/>
        </w:rPr>
        <w:t> </w:t>
      </w:r>
      <w:r w:rsidRPr="001D11CD">
        <w:rPr>
          <w:i/>
          <w:lang w:val="bg-BG"/>
        </w:rPr>
        <w:t>г.</w:t>
      </w:r>
      <w:r w:rsidRPr="001D11CD">
        <w:rPr>
          <w:iCs/>
          <w:lang w:val="bg-BG"/>
        </w:rPr>
        <w:t xml:space="preserve">, </w:t>
      </w:r>
      <w:r w:rsidRPr="001D11CD">
        <w:rPr>
          <w:i/>
          <w:lang w:val="bg-BG"/>
        </w:rPr>
        <w:t>решение № 757 от 26.06.2020</w:t>
      </w:r>
      <w:r w:rsidR="001852AF" w:rsidRPr="001D11CD">
        <w:rPr>
          <w:i/>
          <w:lang w:val="bg-BG"/>
        </w:rPr>
        <w:t> </w:t>
      </w:r>
      <w:r w:rsidRPr="001D11CD">
        <w:rPr>
          <w:i/>
          <w:lang w:val="bg-BG"/>
        </w:rPr>
        <w:t>г. на Адм. съд</w:t>
      </w:r>
      <w:r w:rsidRPr="001D11CD">
        <w:rPr>
          <w:iCs/>
          <w:lang w:val="bg-BG"/>
        </w:rPr>
        <w:t xml:space="preserve"> </w:t>
      </w:r>
      <w:r w:rsidRPr="001D11CD">
        <w:rPr>
          <w:i/>
          <w:lang w:val="bg-BG"/>
        </w:rPr>
        <w:t>– Бургас</w:t>
      </w:r>
      <w:r w:rsidRPr="001D11CD">
        <w:rPr>
          <w:iCs/>
          <w:lang w:val="bg-BG"/>
        </w:rPr>
        <w:t xml:space="preserve">, </w:t>
      </w:r>
      <w:r w:rsidRPr="001D11CD">
        <w:rPr>
          <w:i/>
          <w:lang w:val="bg-BG"/>
        </w:rPr>
        <w:t>XIX адм. състав по д. № 682/2020 г.</w:t>
      </w:r>
      <w:r w:rsidRPr="001D11CD">
        <w:rPr>
          <w:iCs/>
          <w:lang w:val="bg-BG"/>
        </w:rPr>
        <w:t xml:space="preserve">, </w:t>
      </w:r>
      <w:r w:rsidRPr="001D11CD">
        <w:rPr>
          <w:i/>
          <w:lang w:val="bg-BG"/>
        </w:rPr>
        <w:t>решение от 23.10.2020 г. на РС – Провадия по АНД № 163/2020 г</w:t>
      </w:r>
      <w:r w:rsidRPr="001D11CD">
        <w:rPr>
          <w:lang w:val="bg-BG"/>
        </w:rPr>
        <w:t xml:space="preserve">., </w:t>
      </w:r>
      <w:r w:rsidR="00C962FA" w:rsidRPr="001D11CD">
        <w:rPr>
          <w:lang w:val="bg-BG"/>
        </w:rPr>
        <w:t>с</w:t>
      </w:r>
      <w:r w:rsidR="0016113E" w:rsidRPr="001D11CD">
        <w:rPr>
          <w:lang w:val="bg-BG"/>
        </w:rPr>
        <w:t xml:space="preserve"> които </w:t>
      </w:r>
      <w:r w:rsidR="00C962FA" w:rsidRPr="001D11CD">
        <w:rPr>
          <w:lang w:val="bg-BG"/>
        </w:rPr>
        <w:t>съдилищата</w:t>
      </w:r>
      <w:r w:rsidRPr="001D11CD">
        <w:rPr>
          <w:lang w:val="bg-BG"/>
        </w:rPr>
        <w:t xml:space="preserve"> </w:t>
      </w:r>
      <w:r w:rsidR="00C962FA" w:rsidRPr="001D11CD">
        <w:rPr>
          <w:lang w:val="bg-BG"/>
        </w:rPr>
        <w:t xml:space="preserve">отменят </w:t>
      </w:r>
      <w:r w:rsidR="00C77FB4">
        <w:rPr>
          <w:lang w:val="bg-BG"/>
        </w:rPr>
        <w:t>постановления</w:t>
      </w:r>
      <w:r w:rsidR="00C77FB4" w:rsidRPr="001D11CD">
        <w:rPr>
          <w:lang w:val="bg-BG"/>
        </w:rPr>
        <w:t xml:space="preserve"> </w:t>
      </w:r>
      <w:r w:rsidR="00C962FA" w:rsidRPr="001D11CD">
        <w:rPr>
          <w:lang w:val="bg-BG"/>
        </w:rPr>
        <w:t xml:space="preserve">на областните управители за налагане на административни </w:t>
      </w:r>
      <w:r w:rsidR="00FB0C21" w:rsidRPr="001D11CD">
        <w:rPr>
          <w:lang w:val="bg-BG"/>
        </w:rPr>
        <w:t>наказания</w:t>
      </w:r>
      <w:r w:rsidR="00C962FA" w:rsidRPr="001D11CD">
        <w:rPr>
          <w:lang w:val="bg-BG"/>
        </w:rPr>
        <w:t xml:space="preserve"> за нарушаване на забраната за изразяване на език, различен от българския, с мотива, че въпросните речи, произнесени на турски език, не представляват предизборна агитация и следователно не са част от предизборна кампания); и накрая</w:t>
      </w:r>
      <w:r w:rsidR="00FB0C21" w:rsidRPr="001D11CD">
        <w:rPr>
          <w:lang w:val="bg-BG"/>
        </w:rPr>
        <w:t>,</w:t>
      </w:r>
      <w:r w:rsidR="00C962FA" w:rsidRPr="001D11CD">
        <w:rPr>
          <w:lang w:val="bg-BG"/>
        </w:rPr>
        <w:t xml:space="preserve"> те установяват </w:t>
      </w:r>
      <w:r w:rsidR="00FB0C21" w:rsidRPr="001D11CD">
        <w:rPr>
          <w:lang w:val="bg-BG"/>
        </w:rPr>
        <w:t xml:space="preserve">дали има </w:t>
      </w:r>
      <w:r w:rsidR="00C962FA" w:rsidRPr="001D11CD">
        <w:rPr>
          <w:lang w:val="bg-BG"/>
        </w:rPr>
        <w:t xml:space="preserve">доказателства, сочещи, че дадена реч е произнесена на език, различен от българския </w:t>
      </w:r>
      <w:r w:rsidRPr="001D11CD">
        <w:rPr>
          <w:lang w:val="bg-BG"/>
        </w:rPr>
        <w:t>(</w:t>
      </w:r>
      <w:r w:rsidRPr="001D11CD">
        <w:rPr>
          <w:i/>
          <w:lang w:val="bg-BG"/>
        </w:rPr>
        <w:t>решение от 21.06.2021 г. на РС – Провадия по АНД № 2021313200110/2021 г</w:t>
      </w:r>
      <w:r w:rsidRPr="001D11CD">
        <w:rPr>
          <w:lang w:val="bg-BG"/>
        </w:rPr>
        <w:t xml:space="preserve">., </w:t>
      </w:r>
      <w:r w:rsidR="00C962FA" w:rsidRPr="001D11CD">
        <w:rPr>
          <w:lang w:val="bg-BG"/>
        </w:rPr>
        <w:t>с което съдът</w:t>
      </w:r>
      <w:r w:rsidRPr="001D11CD">
        <w:rPr>
          <w:lang w:val="bg-BG"/>
        </w:rPr>
        <w:t xml:space="preserve"> </w:t>
      </w:r>
      <w:r w:rsidR="00C962FA" w:rsidRPr="001D11CD">
        <w:rPr>
          <w:lang w:val="bg-BG"/>
        </w:rPr>
        <w:t xml:space="preserve">отменя </w:t>
      </w:r>
      <w:r w:rsidR="00C77FB4">
        <w:rPr>
          <w:lang w:val="bg-BG"/>
        </w:rPr>
        <w:t>постановление</w:t>
      </w:r>
      <w:r w:rsidR="00C77FB4" w:rsidRPr="001D11CD">
        <w:rPr>
          <w:lang w:val="bg-BG"/>
        </w:rPr>
        <w:t xml:space="preserve"> </w:t>
      </w:r>
      <w:r w:rsidR="00C962FA" w:rsidRPr="001D11CD">
        <w:rPr>
          <w:lang w:val="bg-BG"/>
        </w:rPr>
        <w:t xml:space="preserve">на областния управител поради липса на доказателства, установяващи реалността на предизборното събитие, съставляващо обстоятелство </w:t>
      </w:r>
      <w:r w:rsidR="00FB0C21" w:rsidRPr="001D11CD">
        <w:rPr>
          <w:lang w:val="bg-BG"/>
        </w:rPr>
        <w:t xml:space="preserve">от </w:t>
      </w:r>
      <w:r w:rsidR="00C962FA" w:rsidRPr="001D11CD">
        <w:rPr>
          <w:lang w:val="bg-BG"/>
        </w:rPr>
        <w:t>твърдяното нарушение)</w:t>
      </w:r>
      <w:r w:rsidRPr="001D11CD">
        <w:rPr>
          <w:lang w:val="bg-BG"/>
        </w:rPr>
        <w:t>.</w:t>
      </w:r>
    </w:p>
    <w:p w14:paraId="21C88B83" w14:textId="3A6B45B5" w:rsidR="000B760F" w:rsidRPr="001D11CD" w:rsidRDefault="00416DF0" w:rsidP="000B760F">
      <w:pPr>
        <w:pStyle w:val="JuHIRoman"/>
        <w:rPr>
          <w:lang w:val="bg-BG"/>
        </w:rPr>
      </w:pPr>
      <w:r w:rsidRPr="001D11CD">
        <w:rPr>
          <w:lang w:val="bg-BG"/>
        </w:rPr>
        <w:t>ПРИЛОЖИМИ МЕЖДУНАРОДНИ АКТОВЕ</w:t>
      </w:r>
    </w:p>
    <w:p w14:paraId="259CDD0F" w14:textId="51CFE6DB" w:rsidR="000B760F" w:rsidRPr="001D11CD" w:rsidRDefault="00416DF0" w:rsidP="000B760F">
      <w:pPr>
        <w:pStyle w:val="JuHA"/>
        <w:rPr>
          <w:lang w:val="bg-BG"/>
        </w:rPr>
      </w:pPr>
      <w:r w:rsidRPr="001D11CD">
        <w:rPr>
          <w:lang w:val="bg-BG"/>
        </w:rPr>
        <w:t>ООН</w:t>
      </w:r>
    </w:p>
    <w:p w14:paraId="1A33E700" w14:textId="79E9D95A" w:rsidR="00C91071"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18</w:t>
      </w:r>
      <w:r w:rsidRPr="001D11CD">
        <w:rPr>
          <w:lang w:val="bg-BG"/>
        </w:rPr>
        <w:fldChar w:fldCharType="end"/>
      </w:r>
      <w:r w:rsidR="000B760F" w:rsidRPr="001D11CD">
        <w:rPr>
          <w:lang w:val="bg-BG"/>
        </w:rPr>
        <w:t>.  </w:t>
      </w:r>
      <w:r w:rsidR="003E513F" w:rsidRPr="001D11CD">
        <w:rPr>
          <w:lang w:val="bg-BG"/>
        </w:rPr>
        <w:t xml:space="preserve">В </w:t>
      </w:r>
      <w:r w:rsidR="00C91071" w:rsidRPr="001D11CD">
        <w:rPr>
          <w:lang w:val="bg-BG"/>
        </w:rPr>
        <w:t>Общ</w:t>
      </w:r>
      <w:r w:rsidR="003E513F" w:rsidRPr="001D11CD">
        <w:rPr>
          <w:lang w:val="bg-BG"/>
        </w:rPr>
        <w:t>ия</w:t>
      </w:r>
      <w:r w:rsidR="00316F3F" w:rsidRPr="001D11CD">
        <w:rPr>
          <w:lang w:val="bg-BG"/>
        </w:rPr>
        <w:t xml:space="preserve"> коментар № </w:t>
      </w:r>
      <w:r w:rsidR="00C91071" w:rsidRPr="001D11CD">
        <w:rPr>
          <w:lang w:val="bg-BG"/>
        </w:rPr>
        <w:t xml:space="preserve">25 на Комитета на ООН по правата на човека във връзка с член 25 от Международния пакт за граждански и политически права, гарантиращ на всеки гражданин права „да участва в </w:t>
      </w:r>
      <w:r w:rsidR="00194DB7" w:rsidRPr="001D11CD">
        <w:rPr>
          <w:lang w:val="bg-BG"/>
        </w:rPr>
        <w:t>ръководенето</w:t>
      </w:r>
      <w:r w:rsidR="00C91071" w:rsidRPr="001D11CD">
        <w:rPr>
          <w:lang w:val="bg-BG"/>
        </w:rPr>
        <w:t xml:space="preserve"> на обществените </w:t>
      </w:r>
      <w:r w:rsidR="00E02883" w:rsidRPr="001D11CD">
        <w:rPr>
          <w:lang w:val="bg-BG"/>
        </w:rPr>
        <w:t>дела</w:t>
      </w:r>
      <w:r w:rsidR="00C91071" w:rsidRPr="001D11CD">
        <w:rPr>
          <w:lang w:val="bg-BG"/>
        </w:rPr>
        <w:t xml:space="preserve">“, „да </w:t>
      </w:r>
      <w:r w:rsidR="00F53394" w:rsidRPr="001D11CD">
        <w:rPr>
          <w:lang w:val="bg-BG"/>
        </w:rPr>
        <w:t>гласува</w:t>
      </w:r>
      <w:r w:rsidR="00C91071" w:rsidRPr="001D11CD">
        <w:rPr>
          <w:lang w:val="bg-BG"/>
        </w:rPr>
        <w:t xml:space="preserve"> и да бъде избиран” и „</w:t>
      </w:r>
      <w:r w:rsidR="003E513F" w:rsidRPr="001D11CD">
        <w:rPr>
          <w:lang w:val="bg-BG"/>
        </w:rPr>
        <w:t>д</w:t>
      </w:r>
      <w:r w:rsidR="00C91071" w:rsidRPr="001D11CD">
        <w:rPr>
          <w:lang w:val="bg-BG"/>
        </w:rPr>
        <w:t xml:space="preserve">а </w:t>
      </w:r>
      <w:r w:rsidR="00194DB7" w:rsidRPr="001D11CD">
        <w:rPr>
          <w:lang w:val="bg-BG"/>
        </w:rPr>
        <w:t>има достъп до</w:t>
      </w:r>
      <w:r w:rsidR="00C91071" w:rsidRPr="001D11CD">
        <w:rPr>
          <w:lang w:val="bg-BG"/>
        </w:rPr>
        <w:t xml:space="preserve"> </w:t>
      </w:r>
      <w:r w:rsidR="00A00AE5" w:rsidRPr="001D11CD">
        <w:rPr>
          <w:lang w:val="bg-BG"/>
        </w:rPr>
        <w:t>публич</w:t>
      </w:r>
      <w:r w:rsidR="00194DB7" w:rsidRPr="001D11CD">
        <w:rPr>
          <w:lang w:val="bg-BG"/>
        </w:rPr>
        <w:t>ните</w:t>
      </w:r>
      <w:r w:rsidR="00C91071" w:rsidRPr="001D11CD">
        <w:rPr>
          <w:lang w:val="bg-BG"/>
        </w:rPr>
        <w:t xml:space="preserve"> </w:t>
      </w:r>
      <w:r w:rsidR="00194DB7" w:rsidRPr="001D11CD">
        <w:rPr>
          <w:lang w:val="bg-BG"/>
        </w:rPr>
        <w:t>служби</w:t>
      </w:r>
      <w:r w:rsidR="00C91071" w:rsidRPr="001D11CD">
        <w:rPr>
          <w:lang w:val="bg-BG"/>
        </w:rPr>
        <w:t>”, приет на 12 юли 1996</w:t>
      </w:r>
      <w:r w:rsidR="00316F3F" w:rsidRPr="001D11CD">
        <w:rPr>
          <w:lang w:val="bg-BG"/>
        </w:rPr>
        <w:t> г.</w:t>
      </w:r>
      <w:r w:rsidR="00C91071" w:rsidRPr="001D11CD">
        <w:rPr>
          <w:lang w:val="bg-BG"/>
        </w:rPr>
        <w:t>, се посочва по-специално следното:</w:t>
      </w:r>
    </w:p>
    <w:p w14:paraId="65383E19" w14:textId="3770398C" w:rsidR="000B760F" w:rsidRPr="001D11CD" w:rsidRDefault="003E513F" w:rsidP="000B760F">
      <w:pPr>
        <w:pStyle w:val="JuQuot"/>
        <w:rPr>
          <w:lang w:val="bg-BG"/>
        </w:rPr>
      </w:pPr>
      <w:r w:rsidRPr="001D11CD">
        <w:rPr>
          <w:lang w:val="bg-BG"/>
        </w:rPr>
        <w:t>„</w:t>
      </w:r>
      <w:r w:rsidR="000B760F" w:rsidRPr="001D11CD">
        <w:rPr>
          <w:lang w:val="bg-BG"/>
        </w:rPr>
        <w:t xml:space="preserve">11. </w:t>
      </w:r>
      <w:r w:rsidRPr="001D11CD">
        <w:rPr>
          <w:lang w:val="bg-BG"/>
        </w:rPr>
        <w:t xml:space="preserve">Държавите трябва да </w:t>
      </w:r>
      <w:r w:rsidR="00374061" w:rsidRPr="001D11CD">
        <w:rPr>
          <w:lang w:val="bg-BG"/>
        </w:rPr>
        <w:t>вземат</w:t>
      </w:r>
      <w:r w:rsidRPr="001D11CD">
        <w:rPr>
          <w:lang w:val="bg-BG"/>
        </w:rPr>
        <w:t xml:space="preserve"> ефективни мерки</w:t>
      </w:r>
      <w:r w:rsidR="00A00AE5" w:rsidRPr="001D11CD">
        <w:rPr>
          <w:lang w:val="bg-BG"/>
        </w:rPr>
        <w:t xml:space="preserve"> и</w:t>
      </w:r>
      <w:r w:rsidRPr="001D11CD">
        <w:rPr>
          <w:lang w:val="bg-BG"/>
        </w:rPr>
        <w:t xml:space="preserve"> да</w:t>
      </w:r>
      <w:r w:rsidR="00374061" w:rsidRPr="001D11CD">
        <w:rPr>
          <w:lang w:val="bg-BG"/>
        </w:rPr>
        <w:t xml:space="preserve"> направят така</w:t>
      </w:r>
      <w:r w:rsidRPr="001D11CD">
        <w:rPr>
          <w:lang w:val="bg-BG"/>
        </w:rPr>
        <w:t xml:space="preserve">, че всички лица, които отговарят на изискванията да бъдат избиратели, </w:t>
      </w:r>
      <w:r w:rsidR="00374061" w:rsidRPr="001D11CD">
        <w:rPr>
          <w:lang w:val="bg-BG"/>
        </w:rPr>
        <w:t xml:space="preserve">да </w:t>
      </w:r>
      <w:r w:rsidRPr="001D11CD">
        <w:rPr>
          <w:lang w:val="bg-BG"/>
        </w:rPr>
        <w:t xml:space="preserve">имат възможност да упражняват това </w:t>
      </w:r>
      <w:r w:rsidR="00374061" w:rsidRPr="001D11CD">
        <w:rPr>
          <w:lang w:val="bg-BG"/>
        </w:rPr>
        <w:t xml:space="preserve">си </w:t>
      </w:r>
      <w:r w:rsidRPr="001D11CD">
        <w:rPr>
          <w:lang w:val="bg-BG"/>
        </w:rPr>
        <w:t>право</w:t>
      </w:r>
      <w:r w:rsidR="000B760F" w:rsidRPr="001D11CD">
        <w:rPr>
          <w:lang w:val="bg-BG"/>
        </w:rPr>
        <w:t xml:space="preserve"> (...).</w:t>
      </w:r>
    </w:p>
    <w:p w14:paraId="39B34044" w14:textId="2BAAF621" w:rsidR="000B760F" w:rsidRPr="001D11CD" w:rsidRDefault="000B760F" w:rsidP="00374061">
      <w:pPr>
        <w:pStyle w:val="JuQuot"/>
        <w:rPr>
          <w:lang w:val="bg-BG"/>
        </w:rPr>
      </w:pPr>
      <w:r w:rsidRPr="001D11CD">
        <w:rPr>
          <w:lang w:val="bg-BG"/>
        </w:rPr>
        <w:t>12.  </w:t>
      </w:r>
      <w:r w:rsidR="00374061" w:rsidRPr="001D11CD">
        <w:rPr>
          <w:lang w:val="bg-BG"/>
        </w:rPr>
        <w:t xml:space="preserve">Правото на свобода на изразяване на мнение, събиране и сдружаване е съществено условие за ефективното упражняване на правото на </w:t>
      </w:r>
      <w:r w:rsidR="00F53394" w:rsidRPr="001D11CD">
        <w:rPr>
          <w:lang w:val="bg-BG"/>
        </w:rPr>
        <w:t>гласуване</w:t>
      </w:r>
      <w:r w:rsidR="00374061" w:rsidRPr="001D11CD">
        <w:rPr>
          <w:lang w:val="bg-BG"/>
        </w:rPr>
        <w:t xml:space="preserve"> и следва да бъде напълно защитено. Следва да се предприемат положителни мерки за преодоляване на определени трудности като неграмотност, езикови бариери, бедност или пречки пред свободното движение, които пречат на носителите на правото да </w:t>
      </w:r>
      <w:r w:rsidR="00194DB7" w:rsidRPr="001D11CD">
        <w:rPr>
          <w:lang w:val="bg-BG"/>
        </w:rPr>
        <w:t>гласуват</w:t>
      </w:r>
      <w:r w:rsidR="00374061" w:rsidRPr="001D11CD">
        <w:rPr>
          <w:lang w:val="bg-BG"/>
        </w:rPr>
        <w:t xml:space="preserve"> да упражняват ефективно правата си. Ин</w:t>
      </w:r>
      <w:r w:rsidR="00F53394" w:rsidRPr="001D11CD">
        <w:rPr>
          <w:lang w:val="bg-BG"/>
        </w:rPr>
        <w:t>формацията и всички необходими материали</w:t>
      </w:r>
      <w:r w:rsidR="00374061" w:rsidRPr="001D11CD">
        <w:rPr>
          <w:lang w:val="bg-BG"/>
        </w:rPr>
        <w:t xml:space="preserve"> трябва да бъдат достъпни на езиците на малцинствата (...)“</w:t>
      </w:r>
    </w:p>
    <w:p w14:paraId="2CB53BDC" w14:textId="236BFFE4"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19</w:t>
      </w:r>
      <w:r w:rsidRPr="001D11CD">
        <w:rPr>
          <w:lang w:val="bg-BG"/>
        </w:rPr>
        <w:fldChar w:fldCharType="end"/>
      </w:r>
      <w:r w:rsidR="000B760F" w:rsidRPr="001D11CD">
        <w:rPr>
          <w:lang w:val="bg-BG"/>
        </w:rPr>
        <w:t>.  </w:t>
      </w:r>
      <w:proofErr w:type="spellStart"/>
      <w:r w:rsidR="00A34B62">
        <w:rPr>
          <w:lang w:val="bg-BG"/>
        </w:rPr>
        <w:t>Относимата</w:t>
      </w:r>
      <w:proofErr w:type="spellEnd"/>
      <w:r w:rsidR="00A34B62" w:rsidRPr="001D11CD">
        <w:rPr>
          <w:lang w:val="bg-BG"/>
        </w:rPr>
        <w:t xml:space="preserve"> </w:t>
      </w:r>
      <w:r w:rsidR="00374061" w:rsidRPr="001D11CD">
        <w:rPr>
          <w:lang w:val="bg-BG"/>
        </w:rPr>
        <w:t>част от ч</w:t>
      </w:r>
      <w:r w:rsidR="001A14B1" w:rsidRPr="001D11CD">
        <w:rPr>
          <w:lang w:val="bg-BG"/>
        </w:rPr>
        <w:t>лен</w:t>
      </w:r>
      <w:r w:rsidR="000B760F" w:rsidRPr="001D11CD">
        <w:rPr>
          <w:lang w:val="bg-BG"/>
        </w:rPr>
        <w:t xml:space="preserve"> 27 </w:t>
      </w:r>
      <w:r w:rsidR="00374061" w:rsidRPr="001D11CD">
        <w:rPr>
          <w:lang w:val="bg-BG"/>
        </w:rPr>
        <w:t>от Международния пакт за граждански и политически права</w:t>
      </w:r>
      <w:r w:rsidR="00F53394" w:rsidRPr="001D11CD">
        <w:rPr>
          <w:lang w:val="bg-BG"/>
        </w:rPr>
        <w:t xml:space="preserve"> гласи следното</w:t>
      </w:r>
      <w:r w:rsidR="000B760F" w:rsidRPr="001D11CD">
        <w:rPr>
          <w:lang w:val="bg-BG"/>
        </w:rPr>
        <w:t>:</w:t>
      </w:r>
    </w:p>
    <w:p w14:paraId="3FC62184" w14:textId="61B04532" w:rsidR="000B760F" w:rsidRPr="001D11CD" w:rsidRDefault="00194DB7" w:rsidP="00194DB7">
      <w:pPr>
        <w:pStyle w:val="JuQuot"/>
        <w:rPr>
          <w:lang w:val="bg-BG"/>
        </w:rPr>
      </w:pPr>
      <w:r w:rsidRPr="001D11CD">
        <w:rPr>
          <w:lang w:val="bg-BG"/>
        </w:rPr>
        <w:t>„В държави, в които съществуват етнически (...) или езикови малцинства, лицата, принадлежащи към тези малцинства, не могат да бъдат лишавани от правото (…) да си служат с родния си език.“</w:t>
      </w:r>
    </w:p>
    <w:p w14:paraId="2F00A071" w14:textId="6BC897BC"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20</w:t>
      </w:r>
      <w:r w:rsidRPr="001D11CD">
        <w:rPr>
          <w:lang w:val="bg-BG"/>
        </w:rPr>
        <w:fldChar w:fldCharType="end"/>
      </w:r>
      <w:r w:rsidRPr="001D11CD">
        <w:rPr>
          <w:lang w:val="bg-BG"/>
        </w:rPr>
        <w:t>.  </w:t>
      </w:r>
      <w:r w:rsidR="00B00F3D" w:rsidRPr="001D11CD">
        <w:rPr>
          <w:lang w:val="bg-BG"/>
        </w:rPr>
        <w:t>Ч</w:t>
      </w:r>
      <w:r w:rsidR="001A14B1" w:rsidRPr="001D11CD">
        <w:rPr>
          <w:lang w:val="bg-BG"/>
        </w:rPr>
        <w:t>лен</w:t>
      </w:r>
      <w:r w:rsidRPr="001D11CD">
        <w:rPr>
          <w:lang w:val="bg-BG"/>
        </w:rPr>
        <w:t xml:space="preserve"> 2 </w:t>
      </w:r>
      <w:r w:rsidR="00194DB7" w:rsidRPr="001D11CD">
        <w:rPr>
          <w:lang w:val="bg-BG"/>
        </w:rPr>
        <w:t>от Декларацията на ООН за правата на лицата, принадлежащи към национални или етнически, религиозни и езикови малцинства, приета на 12 декември 1992</w:t>
      </w:r>
      <w:r w:rsidR="0058509B" w:rsidRPr="001D11CD">
        <w:rPr>
          <w:lang w:val="bg-BG"/>
        </w:rPr>
        <w:t> година</w:t>
      </w:r>
      <w:r w:rsidR="00194DB7" w:rsidRPr="001D11CD">
        <w:rPr>
          <w:lang w:val="bg-BG"/>
        </w:rPr>
        <w:t>, предвижда по-специално следното</w:t>
      </w:r>
      <w:r w:rsidRPr="001D11CD">
        <w:rPr>
          <w:lang w:val="bg-BG"/>
        </w:rPr>
        <w:t>:</w:t>
      </w:r>
    </w:p>
    <w:p w14:paraId="4617E093" w14:textId="15FCF902" w:rsidR="000B760F" w:rsidRPr="001D11CD" w:rsidRDefault="002D29C8" w:rsidP="000B760F">
      <w:pPr>
        <w:pStyle w:val="JuQuot"/>
        <w:rPr>
          <w:lang w:val="bg-BG"/>
        </w:rPr>
      </w:pPr>
      <w:r w:rsidRPr="001D11CD">
        <w:rPr>
          <w:rFonts w:eastAsia="Times New Roman"/>
          <w:lang w:val="bg-BG"/>
        </w:rPr>
        <w:t>„</w:t>
      </w:r>
      <w:r w:rsidR="000B760F" w:rsidRPr="001D11CD">
        <w:rPr>
          <w:rFonts w:eastAsia="Times New Roman"/>
          <w:lang w:val="bg-BG"/>
        </w:rPr>
        <w:t>1. </w:t>
      </w:r>
      <w:r w:rsidRPr="001D11CD">
        <w:rPr>
          <w:rFonts w:eastAsia="Times New Roman"/>
          <w:lang w:val="bg-BG"/>
        </w:rPr>
        <w:t>Лицата, принадлежащи към национални или етнически (...) и езикови малцинства (...) имат право (...) да използват собствения си език, в лични</w:t>
      </w:r>
      <w:r w:rsidR="009E6DBF" w:rsidRPr="001D11CD">
        <w:rPr>
          <w:rFonts w:eastAsia="Times New Roman"/>
          <w:lang w:val="bg-BG"/>
        </w:rPr>
        <w:t>я</w:t>
      </w:r>
      <w:r w:rsidRPr="001D11CD">
        <w:rPr>
          <w:rFonts w:eastAsia="Times New Roman"/>
          <w:lang w:val="bg-BG"/>
        </w:rPr>
        <w:t xml:space="preserve"> и обществени</w:t>
      </w:r>
      <w:r w:rsidR="009E6DBF" w:rsidRPr="001D11CD">
        <w:rPr>
          <w:rFonts w:eastAsia="Times New Roman"/>
          <w:lang w:val="bg-BG"/>
        </w:rPr>
        <w:t>я живот</w:t>
      </w:r>
      <w:r w:rsidRPr="001D11CD">
        <w:rPr>
          <w:rFonts w:eastAsia="Times New Roman"/>
          <w:lang w:val="bg-BG"/>
        </w:rPr>
        <w:t>, свободно и без намеса или каквато и да е форма на дискриминация.</w:t>
      </w:r>
      <w:r w:rsidR="009E6DBF" w:rsidRPr="001D11CD">
        <w:rPr>
          <w:lang w:val="bg-BG"/>
        </w:rPr>
        <w:t xml:space="preserve"> </w:t>
      </w:r>
    </w:p>
    <w:p w14:paraId="1D0F32DC" w14:textId="64AD6889" w:rsidR="000B760F" w:rsidRPr="001D11CD" w:rsidRDefault="000B760F" w:rsidP="000B760F">
      <w:pPr>
        <w:pStyle w:val="JuQuot"/>
        <w:rPr>
          <w:lang w:val="bg-BG"/>
        </w:rPr>
      </w:pPr>
      <w:r w:rsidRPr="001D11CD">
        <w:rPr>
          <w:lang w:val="bg-BG"/>
        </w:rPr>
        <w:t>2.  </w:t>
      </w:r>
      <w:r w:rsidR="002D29C8" w:rsidRPr="001D11CD">
        <w:rPr>
          <w:lang w:val="bg-BG"/>
        </w:rPr>
        <w:t>Лицата, принадлежащи към малцинства, имат право да участват пълноценно в обществения (…) живот.“</w:t>
      </w:r>
    </w:p>
    <w:p w14:paraId="6B1ED206" w14:textId="75F5927C"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21</w:t>
      </w:r>
      <w:r w:rsidRPr="001D11CD">
        <w:rPr>
          <w:lang w:val="bg-BG"/>
        </w:rPr>
        <w:fldChar w:fldCharType="end"/>
      </w:r>
      <w:r w:rsidRPr="001D11CD">
        <w:rPr>
          <w:lang w:val="bg-BG"/>
        </w:rPr>
        <w:t>.  </w:t>
      </w:r>
      <w:r w:rsidR="00FC11D5" w:rsidRPr="001D11CD">
        <w:rPr>
          <w:lang w:val="bg-BG"/>
        </w:rPr>
        <w:t>Ч</w:t>
      </w:r>
      <w:r w:rsidR="001A14B1" w:rsidRPr="001D11CD">
        <w:rPr>
          <w:lang w:val="bg-BG"/>
        </w:rPr>
        <w:t>лен</w:t>
      </w:r>
      <w:r w:rsidRPr="001D11CD">
        <w:rPr>
          <w:lang w:val="bg-BG"/>
        </w:rPr>
        <w:t xml:space="preserve"> 5 </w:t>
      </w:r>
      <w:r w:rsidR="00FC11D5" w:rsidRPr="001D11CD">
        <w:rPr>
          <w:lang w:val="bg-BG"/>
        </w:rPr>
        <w:t>от Всеобщата декларация на ЮНЕСКО за културното многообразие, приета на 2 ноември 2001</w:t>
      </w:r>
      <w:r w:rsidR="0058509B" w:rsidRPr="001D11CD">
        <w:rPr>
          <w:lang w:val="bg-BG"/>
        </w:rPr>
        <w:t> година</w:t>
      </w:r>
      <w:r w:rsidR="00FC11D5" w:rsidRPr="001D11CD">
        <w:rPr>
          <w:lang w:val="bg-BG"/>
        </w:rPr>
        <w:t>, провъзгласява</w:t>
      </w:r>
      <w:r w:rsidRPr="001D11CD">
        <w:rPr>
          <w:lang w:val="bg-BG"/>
        </w:rPr>
        <w:t>:</w:t>
      </w:r>
    </w:p>
    <w:p w14:paraId="186C218D" w14:textId="3C84EF3D" w:rsidR="000B760F" w:rsidRPr="001D11CD" w:rsidRDefault="00B26FFE" w:rsidP="000B760F">
      <w:pPr>
        <w:pStyle w:val="JuQuot"/>
        <w:rPr>
          <w:lang w:val="bg-BG"/>
        </w:rPr>
      </w:pPr>
      <w:r w:rsidRPr="001D11CD">
        <w:rPr>
          <w:lang w:val="bg-BG"/>
        </w:rPr>
        <w:t xml:space="preserve">„Всеки трябва (...) да може да изразява себе си, да създава и разпространява произведенията си на избран от него език и по-специално на своя </w:t>
      </w:r>
      <w:r w:rsidR="005E689E" w:rsidRPr="001D11CD">
        <w:rPr>
          <w:lang w:val="bg-BG"/>
        </w:rPr>
        <w:t>майчин</w:t>
      </w:r>
      <w:r w:rsidRPr="001D11CD">
        <w:rPr>
          <w:lang w:val="bg-BG"/>
        </w:rPr>
        <w:t xml:space="preserve"> език (...).“</w:t>
      </w:r>
    </w:p>
    <w:p w14:paraId="1B51FDB4" w14:textId="0A1399D6" w:rsidR="0062177B"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22</w:t>
      </w:r>
      <w:r w:rsidRPr="001D11CD">
        <w:rPr>
          <w:lang w:val="bg-BG"/>
        </w:rPr>
        <w:fldChar w:fldCharType="end"/>
      </w:r>
      <w:r w:rsidRPr="001D11CD">
        <w:rPr>
          <w:lang w:val="bg-BG"/>
        </w:rPr>
        <w:t>.  </w:t>
      </w:r>
      <w:r w:rsidR="0062177B" w:rsidRPr="001D11CD">
        <w:rPr>
          <w:lang w:val="bg-BG"/>
        </w:rPr>
        <w:t xml:space="preserve">Принципът, че не трябва да има никаква забрана за използване на </w:t>
      </w:r>
      <w:r w:rsidR="00F2735E" w:rsidRPr="001D11CD">
        <w:rPr>
          <w:lang w:val="bg-BG"/>
        </w:rPr>
        <w:t>малцинствени езици</w:t>
      </w:r>
      <w:r w:rsidR="0062177B" w:rsidRPr="001D11CD">
        <w:rPr>
          <w:lang w:val="bg-BG"/>
        </w:rPr>
        <w:t xml:space="preserve"> по време на предизборна кампания, е провъзгласен в препоръките за „[м]</w:t>
      </w:r>
      <w:proofErr w:type="spellStart"/>
      <w:r w:rsidR="0062177B" w:rsidRPr="001D11CD">
        <w:rPr>
          <w:lang w:val="bg-BG"/>
        </w:rPr>
        <w:t>алцинствата</w:t>
      </w:r>
      <w:proofErr w:type="spellEnd"/>
      <w:r w:rsidR="0062177B" w:rsidRPr="001D11CD">
        <w:rPr>
          <w:lang w:val="bg-BG"/>
        </w:rPr>
        <w:t xml:space="preserve"> и тяхното ефективно участие в политическия живот“, формулирани на втората сесия на Форума на Обединените нации по въпросите на малцинствата, организиран през ноември 2009</w:t>
      </w:r>
      <w:r w:rsidR="00927F3C" w:rsidRPr="001D11CD">
        <w:rPr>
          <w:lang w:val="bg-BG"/>
        </w:rPr>
        <w:t> г</w:t>
      </w:r>
      <w:r w:rsidR="0062177B" w:rsidRPr="001D11CD">
        <w:rPr>
          <w:lang w:val="bg-BG"/>
        </w:rPr>
        <w:t>. Точка 19 от тези препоръки гласи следното:</w:t>
      </w:r>
    </w:p>
    <w:p w14:paraId="1B29DD57" w14:textId="710D7107" w:rsidR="000B760F" w:rsidRPr="001D11CD" w:rsidRDefault="009966C1" w:rsidP="000B760F">
      <w:pPr>
        <w:pStyle w:val="JuQuot"/>
        <w:rPr>
          <w:lang w:val="bg-BG"/>
        </w:rPr>
      </w:pPr>
      <w:r w:rsidRPr="001D11CD">
        <w:rPr>
          <w:lang w:val="bg-BG"/>
        </w:rPr>
        <w:t xml:space="preserve">„По време на предизборни кампании използването на </w:t>
      </w:r>
      <w:r w:rsidR="00F2735E" w:rsidRPr="001D11CD">
        <w:rPr>
          <w:lang w:val="bg-BG"/>
        </w:rPr>
        <w:t>малцинствени езици</w:t>
      </w:r>
      <w:r w:rsidRPr="001D11CD">
        <w:rPr>
          <w:lang w:val="bg-BG"/>
        </w:rPr>
        <w:t xml:space="preserve"> не трябва да е предмет на забрана или прекомерни ограничения, </w:t>
      </w:r>
      <w:r w:rsidR="00DE1DDA" w:rsidRPr="001D11CD">
        <w:rPr>
          <w:lang w:val="bg-BG"/>
        </w:rPr>
        <w:t xml:space="preserve">като </w:t>
      </w:r>
      <w:r w:rsidRPr="001D11CD">
        <w:rPr>
          <w:lang w:val="bg-BG"/>
        </w:rPr>
        <w:t xml:space="preserve">изборът на език трябва да произтича естествено от желанието да </w:t>
      </w:r>
      <w:r w:rsidR="00DE1DDA" w:rsidRPr="001D11CD">
        <w:rPr>
          <w:lang w:val="bg-BG"/>
        </w:rPr>
        <w:t xml:space="preserve">се </w:t>
      </w:r>
      <w:r w:rsidRPr="001D11CD">
        <w:rPr>
          <w:lang w:val="bg-BG"/>
        </w:rPr>
        <w:t>достигне до възможно най-много избиратели. Доколкото е възможно, изб</w:t>
      </w:r>
      <w:r w:rsidR="007F2A7C" w:rsidRPr="001D11CD">
        <w:rPr>
          <w:lang w:val="bg-BG"/>
        </w:rPr>
        <w:t>о</w:t>
      </w:r>
      <w:r w:rsidRPr="001D11CD">
        <w:rPr>
          <w:lang w:val="bg-BG"/>
        </w:rPr>
        <w:t xml:space="preserve">рните органи трябва да разпространяват информация за гласуването на официалния език, а също и на </w:t>
      </w:r>
      <w:r w:rsidR="00DE1DDA" w:rsidRPr="001D11CD">
        <w:rPr>
          <w:lang w:val="bg-BG"/>
        </w:rPr>
        <w:t xml:space="preserve">малцинствените </w:t>
      </w:r>
      <w:r w:rsidRPr="001D11CD">
        <w:rPr>
          <w:lang w:val="bg-BG"/>
        </w:rPr>
        <w:t>езици в районите, където се използват.</w:t>
      </w:r>
      <w:r w:rsidR="00DE1DDA" w:rsidRPr="001D11CD">
        <w:rPr>
          <w:lang w:val="bg-BG"/>
        </w:rPr>
        <w:t>“</w:t>
      </w:r>
    </w:p>
    <w:p w14:paraId="301D1F42" w14:textId="2AF4A2A9" w:rsidR="000B760F" w:rsidRPr="001D11CD" w:rsidRDefault="00DE1DDA" w:rsidP="00DE1DDA">
      <w:pPr>
        <w:pStyle w:val="JuHA"/>
        <w:numPr>
          <w:ilvl w:val="0"/>
          <w:numId w:val="0"/>
        </w:numPr>
        <w:ind w:left="170"/>
        <w:rPr>
          <w:lang w:val="bg-BG"/>
        </w:rPr>
      </w:pPr>
      <w:r w:rsidRPr="001D11CD">
        <w:rPr>
          <w:lang w:val="bg-BG"/>
        </w:rPr>
        <w:t>Б. Съвет на Европа и ОССЕ</w:t>
      </w:r>
    </w:p>
    <w:p w14:paraId="6844F9D8" w14:textId="35B56E4E" w:rsidR="000B760F" w:rsidRPr="001D11CD" w:rsidRDefault="00DE1DDA" w:rsidP="000B760F">
      <w:pPr>
        <w:pStyle w:val="JuH1"/>
        <w:numPr>
          <w:ilvl w:val="3"/>
          <w:numId w:val="20"/>
        </w:numPr>
        <w:rPr>
          <w:lang w:val="bg-BG"/>
        </w:rPr>
      </w:pPr>
      <w:r w:rsidRPr="001D11CD">
        <w:rPr>
          <w:lang w:val="bg-BG"/>
        </w:rPr>
        <w:t>Рамкова к</w:t>
      </w:r>
      <w:r w:rsidR="00156A3C" w:rsidRPr="001D11CD">
        <w:rPr>
          <w:lang w:val="bg-BG"/>
        </w:rPr>
        <w:t>онвенция</w:t>
      </w:r>
      <w:r w:rsidRPr="001D11CD">
        <w:rPr>
          <w:lang w:val="bg-BG"/>
        </w:rPr>
        <w:t xml:space="preserve"> за защита на националните малцинства</w:t>
      </w:r>
    </w:p>
    <w:p w14:paraId="259F57EE" w14:textId="36B25E45" w:rsidR="00DE1DDA"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23</w:t>
      </w:r>
      <w:r w:rsidRPr="001D11CD">
        <w:rPr>
          <w:lang w:val="bg-BG"/>
        </w:rPr>
        <w:fldChar w:fldCharType="end"/>
      </w:r>
      <w:r w:rsidR="000B760F" w:rsidRPr="001D11CD">
        <w:rPr>
          <w:lang w:val="bg-BG"/>
        </w:rPr>
        <w:t>.  </w:t>
      </w:r>
      <w:r w:rsidR="00DE1DDA" w:rsidRPr="001D11CD">
        <w:rPr>
          <w:lang w:val="bg-BG"/>
        </w:rPr>
        <w:t>Рамковата конвенция за защита на националните малцинства, приета на 10 ноември 1994</w:t>
      </w:r>
      <w:r w:rsidR="00927F3C" w:rsidRPr="001D11CD">
        <w:rPr>
          <w:lang w:val="bg-BG"/>
        </w:rPr>
        <w:t> г.</w:t>
      </w:r>
      <w:r w:rsidR="00DE1DDA" w:rsidRPr="001D11CD">
        <w:rPr>
          <w:lang w:val="bg-BG"/>
        </w:rPr>
        <w:t xml:space="preserve"> от Комитета на министрите, ратифицирана от България на 7 май 1999</w:t>
      </w:r>
      <w:r w:rsidR="00927F3C" w:rsidRPr="001D11CD">
        <w:rPr>
          <w:lang w:val="bg-BG"/>
        </w:rPr>
        <w:t> г.</w:t>
      </w:r>
      <w:r w:rsidR="00DE1DDA" w:rsidRPr="001D11CD">
        <w:rPr>
          <w:lang w:val="bg-BG"/>
        </w:rPr>
        <w:t xml:space="preserve">, съдържа няколко </w:t>
      </w:r>
      <w:proofErr w:type="spellStart"/>
      <w:r w:rsidR="00DE1DDA" w:rsidRPr="001D11CD">
        <w:rPr>
          <w:lang w:val="bg-BG"/>
        </w:rPr>
        <w:t>относими</w:t>
      </w:r>
      <w:proofErr w:type="spellEnd"/>
      <w:r w:rsidR="00DE1DDA" w:rsidRPr="001D11CD">
        <w:rPr>
          <w:lang w:val="bg-BG"/>
        </w:rPr>
        <w:t xml:space="preserve"> към конкретния случай разпоредби:</w:t>
      </w:r>
    </w:p>
    <w:p w14:paraId="46F70624" w14:textId="5A4F23BE" w:rsidR="000B760F" w:rsidRPr="001D11CD" w:rsidRDefault="001A14B1" w:rsidP="000B760F">
      <w:pPr>
        <w:pStyle w:val="JuHArticle"/>
        <w:rPr>
          <w:lang w:val="bg-BG"/>
        </w:rPr>
      </w:pPr>
      <w:r w:rsidRPr="001D11CD">
        <w:rPr>
          <w:lang w:val="bg-BG"/>
        </w:rPr>
        <w:t>Член</w:t>
      </w:r>
      <w:r w:rsidR="000B760F" w:rsidRPr="001D11CD">
        <w:rPr>
          <w:lang w:val="bg-BG"/>
        </w:rPr>
        <w:t xml:space="preserve"> 9</w:t>
      </w:r>
    </w:p>
    <w:p w14:paraId="0DB364D4" w14:textId="57FA9600" w:rsidR="000B760F" w:rsidRPr="001D11CD" w:rsidRDefault="00233D89" w:rsidP="00233D89">
      <w:pPr>
        <w:pStyle w:val="JuQuot"/>
        <w:rPr>
          <w:lang w:val="bg-BG"/>
        </w:rPr>
      </w:pPr>
      <w:r w:rsidRPr="001D11CD">
        <w:rPr>
          <w:lang w:val="bg-BG"/>
        </w:rPr>
        <w:t>„</w:t>
      </w:r>
      <w:r w:rsidR="000B760F" w:rsidRPr="001D11CD">
        <w:rPr>
          <w:lang w:val="bg-BG"/>
        </w:rPr>
        <w:t>1.  </w:t>
      </w:r>
      <w:r w:rsidRPr="001D11CD">
        <w:rPr>
          <w:lang w:val="bg-BG"/>
        </w:rPr>
        <w:t>Страните се задължават да признаят, че правото на свобода на изразяване на всяко лице, принадлежащо към национално малцинство, включва свободата да изразява мнение, да получава и разпространява информация и идеи на езика на малцинството без намеса на държавни власти и независимо от границите</w:t>
      </w:r>
      <w:r w:rsidR="009E6DBF" w:rsidRPr="001D11CD">
        <w:rPr>
          <w:lang w:val="bg-BG"/>
        </w:rPr>
        <w:t xml:space="preserve"> </w:t>
      </w:r>
      <w:r w:rsidR="000B760F" w:rsidRPr="001D11CD">
        <w:rPr>
          <w:lang w:val="bg-BG"/>
        </w:rPr>
        <w:t>(...)</w:t>
      </w:r>
      <w:r w:rsidR="009E6DBF" w:rsidRPr="001D11CD">
        <w:rPr>
          <w:lang w:val="bg-BG"/>
        </w:rPr>
        <w:t>“</w:t>
      </w:r>
    </w:p>
    <w:p w14:paraId="362FD303" w14:textId="0F0E012C" w:rsidR="000B760F" w:rsidRPr="001D11CD" w:rsidRDefault="001A14B1" w:rsidP="000B760F">
      <w:pPr>
        <w:pStyle w:val="JuHArticle"/>
        <w:rPr>
          <w:lang w:val="bg-BG"/>
        </w:rPr>
      </w:pPr>
      <w:r w:rsidRPr="001D11CD">
        <w:rPr>
          <w:lang w:val="bg-BG"/>
        </w:rPr>
        <w:t>Член</w:t>
      </w:r>
      <w:r w:rsidR="000B760F" w:rsidRPr="001D11CD">
        <w:rPr>
          <w:lang w:val="bg-BG"/>
        </w:rPr>
        <w:t xml:space="preserve"> 10</w:t>
      </w:r>
    </w:p>
    <w:p w14:paraId="63BEE431" w14:textId="003741C0" w:rsidR="000B760F" w:rsidRPr="001D11CD" w:rsidRDefault="009E6DBF" w:rsidP="009E6DBF">
      <w:pPr>
        <w:pStyle w:val="JuQuot"/>
        <w:rPr>
          <w:lang w:val="bg-BG"/>
        </w:rPr>
      </w:pPr>
      <w:r w:rsidRPr="001D11CD">
        <w:rPr>
          <w:lang w:val="bg-BG"/>
        </w:rPr>
        <w:t>„</w:t>
      </w:r>
      <w:r w:rsidR="000B760F" w:rsidRPr="001D11CD">
        <w:rPr>
          <w:lang w:val="bg-BG"/>
        </w:rPr>
        <w:t>1.  </w:t>
      </w:r>
      <w:r w:rsidRPr="001D11CD">
        <w:rPr>
          <w:lang w:val="bg-BG"/>
        </w:rPr>
        <w:t xml:space="preserve">Страните се задължават да признаят на всяко лице, принадлежащо към национално малцинство, правото свободно и без намеса да използва езика на неговото малцинство в личния и обществения живот както устно, така и писмено. </w:t>
      </w:r>
      <w:r w:rsidR="000B760F" w:rsidRPr="001D11CD">
        <w:rPr>
          <w:lang w:val="bg-BG"/>
        </w:rPr>
        <w:t>(...)</w:t>
      </w:r>
      <w:r w:rsidRPr="001D11CD">
        <w:rPr>
          <w:lang w:val="bg-BG"/>
        </w:rPr>
        <w:t>“</w:t>
      </w:r>
    </w:p>
    <w:p w14:paraId="2D451E4B" w14:textId="392C03F1" w:rsidR="000B760F" w:rsidRPr="001D11CD" w:rsidRDefault="001A14B1" w:rsidP="000B760F">
      <w:pPr>
        <w:pStyle w:val="JuHArticle"/>
        <w:rPr>
          <w:lang w:val="bg-BG"/>
        </w:rPr>
      </w:pPr>
      <w:r w:rsidRPr="001D11CD">
        <w:rPr>
          <w:lang w:val="bg-BG"/>
        </w:rPr>
        <w:t>Член</w:t>
      </w:r>
      <w:r w:rsidR="000B760F" w:rsidRPr="001D11CD">
        <w:rPr>
          <w:lang w:val="bg-BG"/>
        </w:rPr>
        <w:t xml:space="preserve"> 15</w:t>
      </w:r>
    </w:p>
    <w:p w14:paraId="4FA7EBB3" w14:textId="0F311787" w:rsidR="000B760F" w:rsidRPr="001D11CD" w:rsidRDefault="009E6DBF" w:rsidP="000B760F">
      <w:pPr>
        <w:pStyle w:val="JuQuot"/>
        <w:rPr>
          <w:lang w:val="bg-BG"/>
        </w:rPr>
      </w:pPr>
      <w:r w:rsidRPr="001D11CD">
        <w:rPr>
          <w:lang w:val="bg-BG"/>
        </w:rPr>
        <w:t>„</w:t>
      </w:r>
      <w:r w:rsidR="006317BF" w:rsidRPr="001D11CD">
        <w:rPr>
          <w:lang w:val="bg-BG"/>
        </w:rPr>
        <w:t xml:space="preserve">Страните се задължават да създават необходимите условия за ефективното участие на лицата, принадлежащи към национални малцинства, в културния, социалния и икономическия живот, както и в обществените </w:t>
      </w:r>
      <w:r w:rsidR="00E02883" w:rsidRPr="001D11CD">
        <w:rPr>
          <w:lang w:val="bg-BG"/>
        </w:rPr>
        <w:t>де</w:t>
      </w:r>
      <w:r w:rsidR="00025A62" w:rsidRPr="001D11CD">
        <w:rPr>
          <w:lang w:val="bg-BG"/>
        </w:rPr>
        <w:t>йности</w:t>
      </w:r>
      <w:r w:rsidR="006317BF" w:rsidRPr="001D11CD">
        <w:rPr>
          <w:lang w:val="bg-BG"/>
        </w:rPr>
        <w:t>, по-специално онези, които ги засягат.“</w:t>
      </w:r>
    </w:p>
    <w:p w14:paraId="780A24AA" w14:textId="16057114"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24</w:t>
      </w:r>
      <w:r w:rsidRPr="001D11CD">
        <w:rPr>
          <w:lang w:val="bg-BG"/>
        </w:rPr>
        <w:fldChar w:fldCharType="end"/>
      </w:r>
      <w:r w:rsidR="000B760F" w:rsidRPr="001D11CD">
        <w:rPr>
          <w:lang w:val="bg-BG"/>
        </w:rPr>
        <w:t>.  </w:t>
      </w:r>
      <w:r w:rsidR="006317BF" w:rsidRPr="001D11CD">
        <w:rPr>
          <w:lang w:val="bg-BG"/>
        </w:rPr>
        <w:t>На 27 февруари 2008</w:t>
      </w:r>
      <w:r w:rsidR="00C949F0" w:rsidRPr="001D11CD">
        <w:rPr>
          <w:lang w:val="bg-BG"/>
        </w:rPr>
        <w:t> г.</w:t>
      </w:r>
      <w:r w:rsidR="006317BF" w:rsidRPr="001D11CD">
        <w:rPr>
          <w:lang w:val="bg-BG"/>
        </w:rPr>
        <w:t xml:space="preserve"> Консултативният комитет </w:t>
      </w:r>
      <w:r w:rsidR="0086172F" w:rsidRPr="001D11CD">
        <w:rPr>
          <w:lang w:val="bg-BG"/>
        </w:rPr>
        <w:t>по</w:t>
      </w:r>
      <w:r w:rsidR="006317BF" w:rsidRPr="001D11CD">
        <w:rPr>
          <w:lang w:val="bg-BG"/>
        </w:rPr>
        <w:t xml:space="preserve"> Рамковата конвенция за за</w:t>
      </w:r>
      <w:r w:rsidR="00C949F0" w:rsidRPr="001D11CD">
        <w:rPr>
          <w:lang w:val="bg-BG"/>
        </w:rPr>
        <w:t>щита на националните малцинства</w:t>
      </w:r>
      <w:r w:rsidR="006317BF" w:rsidRPr="001D11CD">
        <w:rPr>
          <w:lang w:val="bg-BG"/>
        </w:rPr>
        <w:t xml:space="preserve"> в своя </w:t>
      </w:r>
      <w:r w:rsidR="00325BF2" w:rsidRPr="001D11CD">
        <w:rPr>
          <w:lang w:val="bg-BG"/>
        </w:rPr>
        <w:t>к</w:t>
      </w:r>
      <w:r w:rsidR="006317BF" w:rsidRPr="001D11CD">
        <w:rPr>
          <w:lang w:val="bg-BG"/>
        </w:rPr>
        <w:t xml:space="preserve">оментар относно ефективното участие на лица, принадлежащи към национални малцинства, в културния, социалния и икономическия живот, както и в обществените </w:t>
      </w:r>
      <w:r w:rsidR="00E02883" w:rsidRPr="001D11CD">
        <w:rPr>
          <w:lang w:val="bg-BG"/>
        </w:rPr>
        <w:t>де</w:t>
      </w:r>
      <w:r w:rsidR="00025A62" w:rsidRPr="001D11CD">
        <w:rPr>
          <w:lang w:val="bg-BG"/>
        </w:rPr>
        <w:t>йности</w:t>
      </w:r>
      <w:r w:rsidR="006317BF" w:rsidRPr="001D11CD">
        <w:rPr>
          <w:lang w:val="bg-BG"/>
        </w:rPr>
        <w:t xml:space="preserve">, изрази следното мнение, </w:t>
      </w:r>
      <w:r w:rsidR="00F404CB" w:rsidRPr="001D11CD">
        <w:rPr>
          <w:lang w:val="bg-BG"/>
        </w:rPr>
        <w:t>щ</w:t>
      </w:r>
      <w:r w:rsidR="006317BF" w:rsidRPr="001D11CD">
        <w:rPr>
          <w:lang w:val="bg-BG"/>
        </w:rPr>
        <w:t xml:space="preserve">о се отнася до използването на </w:t>
      </w:r>
      <w:r w:rsidR="00F2735E" w:rsidRPr="001D11CD">
        <w:rPr>
          <w:lang w:val="bg-BG"/>
        </w:rPr>
        <w:t>малцинствени езици</w:t>
      </w:r>
      <w:r w:rsidR="006317BF" w:rsidRPr="001D11CD">
        <w:rPr>
          <w:lang w:val="bg-BG"/>
        </w:rPr>
        <w:t xml:space="preserve"> в предизборни кампании:</w:t>
      </w:r>
      <w:r w:rsidR="000B760F" w:rsidRPr="001D11CD">
        <w:rPr>
          <w:lang w:val="bg-BG"/>
        </w:rPr>
        <w:t xml:space="preserve"> </w:t>
      </w:r>
    </w:p>
    <w:p w14:paraId="61053A2F" w14:textId="1ADCD1FB" w:rsidR="009904D9" w:rsidRPr="001D11CD" w:rsidRDefault="00C949F0" w:rsidP="000B760F">
      <w:pPr>
        <w:pStyle w:val="JuQuot"/>
        <w:rPr>
          <w:lang w:val="bg-BG"/>
        </w:rPr>
      </w:pPr>
      <w:r w:rsidRPr="001D11CD">
        <w:rPr>
          <w:lang w:val="bg-BG"/>
        </w:rPr>
        <w:t>„</w:t>
      </w:r>
      <w:r w:rsidR="000B760F" w:rsidRPr="001D11CD">
        <w:rPr>
          <w:lang w:val="bg-BG"/>
        </w:rPr>
        <w:t> 77. </w:t>
      </w:r>
      <w:r w:rsidR="00025A62" w:rsidRPr="001D11CD">
        <w:rPr>
          <w:lang w:val="bg-BG"/>
        </w:rPr>
        <w:t>Страните д</w:t>
      </w:r>
      <w:r w:rsidR="009904D9" w:rsidRPr="001D11CD">
        <w:rPr>
          <w:lang w:val="bg-BG"/>
        </w:rPr>
        <w:t xml:space="preserve">ържави трябва да гарантират, че политическите формации, представляващи или включващи лица, принадлежащи към национални малцинства, имат възможност да провеждат предизборни кампании по подходящ начин. Това може да включва публикуване на предизборни реклами на </w:t>
      </w:r>
      <w:r w:rsidR="00F2735E" w:rsidRPr="001D11CD">
        <w:rPr>
          <w:lang w:val="bg-BG"/>
        </w:rPr>
        <w:t>малцинствени езици</w:t>
      </w:r>
      <w:r w:rsidR="009904D9" w:rsidRPr="001D11CD">
        <w:rPr>
          <w:lang w:val="bg-BG"/>
        </w:rPr>
        <w:t xml:space="preserve">. Властите трябва също така да разгледат възможността за използване на </w:t>
      </w:r>
      <w:r w:rsidR="00F2735E" w:rsidRPr="001D11CD">
        <w:rPr>
          <w:lang w:val="bg-BG"/>
        </w:rPr>
        <w:t>малцинствени езици</w:t>
      </w:r>
      <w:r w:rsidR="009904D9" w:rsidRPr="001D11CD">
        <w:rPr>
          <w:lang w:val="bg-BG"/>
        </w:rPr>
        <w:t xml:space="preserve"> в обществени радиопрограми, посветени на предизборната кампания, както и </w:t>
      </w:r>
      <w:r w:rsidR="00265EB0" w:rsidRPr="001D11CD">
        <w:rPr>
          <w:lang w:val="bg-BG"/>
        </w:rPr>
        <w:t>върху</w:t>
      </w:r>
      <w:r w:rsidR="009904D9" w:rsidRPr="001D11CD">
        <w:rPr>
          <w:lang w:val="bg-BG"/>
        </w:rPr>
        <w:t xml:space="preserve"> бюлетини</w:t>
      </w:r>
      <w:r w:rsidR="00265EB0" w:rsidRPr="001D11CD">
        <w:rPr>
          <w:lang w:val="bg-BG"/>
        </w:rPr>
        <w:t>те</w:t>
      </w:r>
      <w:r w:rsidR="009904D9" w:rsidRPr="001D11CD">
        <w:rPr>
          <w:lang w:val="bg-BG"/>
        </w:rPr>
        <w:t xml:space="preserve"> и други </w:t>
      </w:r>
      <w:r w:rsidR="00265EB0" w:rsidRPr="001D11CD">
        <w:rPr>
          <w:lang w:val="bg-BG"/>
        </w:rPr>
        <w:t>пред</w:t>
      </w:r>
      <w:r w:rsidR="009904D9" w:rsidRPr="001D11CD">
        <w:rPr>
          <w:lang w:val="bg-BG"/>
        </w:rPr>
        <w:t>изборни материали в региони, населени традиционно или в значителн</w:t>
      </w:r>
      <w:r w:rsidR="00265EB0" w:rsidRPr="001D11CD">
        <w:rPr>
          <w:lang w:val="bg-BG"/>
        </w:rPr>
        <w:t>а степен</w:t>
      </w:r>
      <w:r w:rsidR="009904D9" w:rsidRPr="001D11CD">
        <w:rPr>
          <w:lang w:val="bg-BG"/>
        </w:rPr>
        <w:t xml:space="preserve"> от лица, принадлежащи към национални малцинства.</w:t>
      </w:r>
      <w:r w:rsidR="00265EB0" w:rsidRPr="001D11CD">
        <w:rPr>
          <w:lang w:val="bg-BG"/>
        </w:rPr>
        <w:t>“</w:t>
      </w:r>
    </w:p>
    <w:bookmarkStart w:id="8" w:name="Para25new"/>
    <w:p w14:paraId="0508677F" w14:textId="04B4A322" w:rsidR="0086172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25</w:t>
      </w:r>
      <w:r w:rsidRPr="001D11CD">
        <w:rPr>
          <w:lang w:val="bg-BG"/>
        </w:rPr>
        <w:fldChar w:fldCharType="end"/>
      </w:r>
      <w:bookmarkEnd w:id="8"/>
      <w:r w:rsidRPr="001D11CD">
        <w:rPr>
          <w:lang w:val="bg-BG"/>
        </w:rPr>
        <w:t>.  </w:t>
      </w:r>
      <w:r w:rsidR="00741A7D" w:rsidRPr="001D11CD">
        <w:rPr>
          <w:lang w:val="bg-BG"/>
        </w:rPr>
        <w:t>Още по-</w:t>
      </w:r>
      <w:r w:rsidR="0086172F" w:rsidRPr="001D11CD">
        <w:rPr>
          <w:lang w:val="bg-BG"/>
        </w:rPr>
        <w:t>наскоро, в четвъртото си становище относно България, прието на 26 май 2020</w:t>
      </w:r>
      <w:r w:rsidR="00C949F0" w:rsidRPr="001D11CD">
        <w:rPr>
          <w:lang w:val="bg-BG"/>
        </w:rPr>
        <w:t> г.</w:t>
      </w:r>
      <w:r w:rsidR="0086172F" w:rsidRPr="001D11CD">
        <w:rPr>
          <w:lang w:val="bg-BG"/>
        </w:rPr>
        <w:t xml:space="preserve">, Консултативният комитет </w:t>
      </w:r>
      <w:r w:rsidR="00741A7D" w:rsidRPr="001D11CD">
        <w:rPr>
          <w:lang w:val="bg-BG"/>
        </w:rPr>
        <w:t>по</w:t>
      </w:r>
      <w:r w:rsidR="0086172F" w:rsidRPr="001D11CD">
        <w:rPr>
          <w:lang w:val="bg-BG"/>
        </w:rPr>
        <w:t xml:space="preserve"> Рамк</w:t>
      </w:r>
      <w:r w:rsidR="00741A7D" w:rsidRPr="001D11CD">
        <w:rPr>
          <w:lang w:val="bg-BG"/>
        </w:rPr>
        <w:t>ов</w:t>
      </w:r>
      <w:r w:rsidR="0086172F" w:rsidRPr="001D11CD">
        <w:rPr>
          <w:lang w:val="bg-BG"/>
        </w:rPr>
        <w:t xml:space="preserve">ата </w:t>
      </w:r>
      <w:r w:rsidR="00741A7D" w:rsidRPr="001D11CD">
        <w:rPr>
          <w:lang w:val="bg-BG"/>
        </w:rPr>
        <w:t>к</w:t>
      </w:r>
      <w:r w:rsidR="0086172F" w:rsidRPr="001D11CD">
        <w:rPr>
          <w:lang w:val="bg-BG"/>
        </w:rPr>
        <w:t>онвенция за защита на националните малцинства изрази своята позиция отн</w:t>
      </w:r>
      <w:r w:rsidR="00741A7D" w:rsidRPr="001D11CD">
        <w:rPr>
          <w:lang w:val="bg-BG"/>
        </w:rPr>
        <w:t>осно</w:t>
      </w:r>
      <w:r w:rsidR="0086172F" w:rsidRPr="001D11CD">
        <w:rPr>
          <w:lang w:val="bg-BG"/>
        </w:rPr>
        <w:t xml:space="preserve"> забраната за използване на език, различен от българския</w:t>
      </w:r>
      <w:r w:rsidR="00741A7D" w:rsidRPr="001D11CD">
        <w:rPr>
          <w:lang w:val="bg-BG"/>
        </w:rPr>
        <w:t>,</w:t>
      </w:r>
      <w:r w:rsidR="0086172F" w:rsidRPr="001D11CD">
        <w:rPr>
          <w:lang w:val="bg-BG"/>
        </w:rPr>
        <w:t xml:space="preserve"> в рамките на </w:t>
      </w:r>
      <w:r w:rsidR="00741A7D" w:rsidRPr="001D11CD">
        <w:rPr>
          <w:lang w:val="bg-BG"/>
        </w:rPr>
        <w:t>п</w:t>
      </w:r>
      <w:r w:rsidR="0086172F" w:rsidRPr="001D11CD">
        <w:rPr>
          <w:lang w:val="bg-BG"/>
        </w:rPr>
        <w:t>редизборни</w:t>
      </w:r>
      <w:r w:rsidR="00741A7D" w:rsidRPr="001D11CD">
        <w:rPr>
          <w:lang w:val="bg-BG"/>
        </w:rPr>
        <w:t>те</w:t>
      </w:r>
      <w:r w:rsidR="0086172F" w:rsidRPr="001D11CD">
        <w:rPr>
          <w:lang w:val="bg-BG"/>
        </w:rPr>
        <w:t xml:space="preserve"> кампании:</w:t>
      </w:r>
    </w:p>
    <w:p w14:paraId="7B4D79EB" w14:textId="0144A14D" w:rsidR="000B760F" w:rsidRPr="001D11CD" w:rsidRDefault="00741A7D" w:rsidP="00743B7E">
      <w:pPr>
        <w:pStyle w:val="JuQuot"/>
        <w:rPr>
          <w:lang w:val="bg-BG"/>
        </w:rPr>
      </w:pPr>
      <w:r w:rsidRPr="001D11CD">
        <w:rPr>
          <w:lang w:val="bg-BG"/>
        </w:rPr>
        <w:t xml:space="preserve"> „</w:t>
      </w:r>
      <w:r w:rsidR="000B760F" w:rsidRPr="001D11CD">
        <w:rPr>
          <w:lang w:val="bg-BG"/>
        </w:rPr>
        <w:t>191.  </w:t>
      </w:r>
      <w:r w:rsidRPr="001D11CD">
        <w:rPr>
          <w:lang w:val="bg-BG"/>
        </w:rPr>
        <w:t xml:space="preserve">Консултативният комитет е загрижен, че </w:t>
      </w:r>
      <w:r w:rsidR="00A34B62">
        <w:rPr>
          <w:lang w:val="bg-BG"/>
        </w:rPr>
        <w:t>И</w:t>
      </w:r>
      <w:r w:rsidR="00A34B62" w:rsidRPr="001D11CD">
        <w:rPr>
          <w:lang w:val="bg-BG"/>
        </w:rPr>
        <w:t xml:space="preserve">зборният </w:t>
      </w:r>
      <w:r w:rsidRPr="001D11CD">
        <w:rPr>
          <w:lang w:val="bg-BG"/>
        </w:rPr>
        <w:t>кодекс продължава да забранява използването на езици, различни от български</w:t>
      </w:r>
      <w:r w:rsidR="005B410C" w:rsidRPr="001D11CD">
        <w:rPr>
          <w:lang w:val="bg-BG"/>
        </w:rPr>
        <w:t>я</w:t>
      </w:r>
      <w:r w:rsidRPr="001D11CD">
        <w:rPr>
          <w:lang w:val="bg-BG"/>
        </w:rPr>
        <w:t xml:space="preserve"> по време на предизборни</w:t>
      </w:r>
      <w:r w:rsidR="005B410C" w:rsidRPr="001D11CD">
        <w:rPr>
          <w:lang w:val="bg-BG"/>
        </w:rPr>
        <w:t>те</w:t>
      </w:r>
      <w:r w:rsidRPr="001D11CD">
        <w:rPr>
          <w:lang w:val="bg-BG"/>
        </w:rPr>
        <w:t xml:space="preserve"> кампании. По време на кампанията за последните парламентарни избори </w:t>
      </w:r>
      <w:r w:rsidR="00743B7E" w:rsidRPr="001D11CD">
        <w:rPr>
          <w:lang w:val="bg-BG"/>
        </w:rPr>
        <w:t xml:space="preserve">на </w:t>
      </w:r>
      <w:r w:rsidRPr="001D11CD">
        <w:rPr>
          <w:lang w:val="bg-BG"/>
        </w:rPr>
        <w:t>един от заместник-пре</w:t>
      </w:r>
      <w:r w:rsidR="005B410C" w:rsidRPr="001D11CD">
        <w:rPr>
          <w:lang w:val="bg-BG"/>
        </w:rPr>
        <w:t>дседателите</w:t>
      </w:r>
      <w:r w:rsidRPr="001D11CD">
        <w:rPr>
          <w:lang w:val="bg-BG"/>
        </w:rPr>
        <w:t xml:space="preserve"> на </w:t>
      </w:r>
      <w:r w:rsidR="005B410C" w:rsidRPr="001D11CD">
        <w:rPr>
          <w:lang w:val="bg-BG"/>
        </w:rPr>
        <w:t xml:space="preserve">Обединение </w:t>
      </w:r>
      <w:r w:rsidRPr="001D11CD">
        <w:rPr>
          <w:lang w:val="bg-BG"/>
        </w:rPr>
        <w:t xml:space="preserve">ДОСТ беше </w:t>
      </w:r>
      <w:r w:rsidR="00743B7E" w:rsidRPr="001D11CD">
        <w:rPr>
          <w:lang w:val="bg-BG"/>
        </w:rPr>
        <w:t xml:space="preserve">наложена </w:t>
      </w:r>
      <w:r w:rsidRPr="001D11CD">
        <w:rPr>
          <w:lang w:val="bg-BG"/>
        </w:rPr>
        <w:t>глоб</w:t>
      </w:r>
      <w:r w:rsidR="00743B7E" w:rsidRPr="001D11CD">
        <w:rPr>
          <w:lang w:val="bg-BG"/>
        </w:rPr>
        <w:t>а</w:t>
      </w:r>
      <w:r w:rsidRPr="001D11CD">
        <w:rPr>
          <w:lang w:val="bg-BG"/>
        </w:rPr>
        <w:t xml:space="preserve"> за </w:t>
      </w:r>
      <w:r w:rsidR="00743B7E" w:rsidRPr="001D11CD">
        <w:rPr>
          <w:lang w:val="bg-BG"/>
        </w:rPr>
        <w:t>разпространение</w:t>
      </w:r>
      <w:r w:rsidRPr="001D11CD">
        <w:rPr>
          <w:lang w:val="bg-BG"/>
        </w:rPr>
        <w:t xml:space="preserve"> на дв</w:t>
      </w:r>
      <w:r w:rsidR="00743B7E" w:rsidRPr="001D11CD">
        <w:rPr>
          <w:lang w:val="bg-BG"/>
        </w:rPr>
        <w:t>е</w:t>
      </w:r>
      <w:r w:rsidRPr="001D11CD">
        <w:rPr>
          <w:lang w:val="bg-BG"/>
        </w:rPr>
        <w:t xml:space="preserve"> </w:t>
      </w:r>
      <w:r w:rsidR="00743B7E" w:rsidRPr="001D11CD">
        <w:rPr>
          <w:lang w:val="bg-BG"/>
        </w:rPr>
        <w:t>видеа,</w:t>
      </w:r>
      <w:r w:rsidRPr="001D11CD">
        <w:rPr>
          <w:lang w:val="bg-BG"/>
        </w:rPr>
        <w:t xml:space="preserve"> </w:t>
      </w:r>
      <w:proofErr w:type="spellStart"/>
      <w:r w:rsidRPr="001D11CD">
        <w:rPr>
          <w:lang w:val="bg-BG"/>
        </w:rPr>
        <w:t>субтитри</w:t>
      </w:r>
      <w:r w:rsidR="00743B7E" w:rsidRPr="001D11CD">
        <w:rPr>
          <w:lang w:val="bg-BG"/>
        </w:rPr>
        <w:t>рани</w:t>
      </w:r>
      <w:proofErr w:type="spellEnd"/>
      <w:r w:rsidR="00743B7E" w:rsidRPr="001D11CD">
        <w:rPr>
          <w:lang w:val="bg-BG"/>
        </w:rPr>
        <w:t xml:space="preserve"> на турски,</w:t>
      </w:r>
      <w:r w:rsidRPr="001D11CD">
        <w:rPr>
          <w:lang w:val="bg-BG"/>
        </w:rPr>
        <w:t xml:space="preserve"> на официалния </w:t>
      </w:r>
      <w:r w:rsidR="00743B7E" w:rsidRPr="001D11CD">
        <w:rPr>
          <w:lang w:val="bg-BG"/>
        </w:rPr>
        <w:t>уеб</w:t>
      </w:r>
      <w:r w:rsidRPr="001D11CD">
        <w:rPr>
          <w:lang w:val="bg-BG"/>
        </w:rPr>
        <w:t xml:space="preserve">сайт на </w:t>
      </w:r>
      <w:r w:rsidR="00743B7E" w:rsidRPr="001D11CD">
        <w:rPr>
          <w:lang w:val="bg-BG"/>
        </w:rPr>
        <w:t>Обединението</w:t>
      </w:r>
      <w:r w:rsidRPr="001D11CD">
        <w:rPr>
          <w:lang w:val="bg-BG"/>
        </w:rPr>
        <w:t xml:space="preserve">. Консултативният комитет счита, че </w:t>
      </w:r>
      <w:r w:rsidR="00743B7E" w:rsidRPr="001D11CD">
        <w:rPr>
          <w:lang w:val="bg-BG"/>
        </w:rPr>
        <w:t>въпросната</w:t>
      </w:r>
      <w:r w:rsidRPr="001D11CD">
        <w:rPr>
          <w:lang w:val="bg-BG"/>
        </w:rPr>
        <w:t xml:space="preserve"> забрана е проблематична, тъй като ограничава правото на лица, принадлежащи към малцинства, да участват в публични де</w:t>
      </w:r>
      <w:r w:rsidR="00743B7E" w:rsidRPr="001D11CD">
        <w:rPr>
          <w:lang w:val="bg-BG"/>
        </w:rPr>
        <w:t>йствия,</w:t>
      </w:r>
      <w:r w:rsidRPr="001D11CD">
        <w:rPr>
          <w:lang w:val="bg-BG"/>
        </w:rPr>
        <w:t xml:space="preserve"> и правото, гарантирано от член 9 от Рамк</w:t>
      </w:r>
      <w:r w:rsidR="00743B7E" w:rsidRPr="001D11CD">
        <w:rPr>
          <w:lang w:val="bg-BG"/>
        </w:rPr>
        <w:t>овата к</w:t>
      </w:r>
      <w:r w:rsidRPr="001D11CD">
        <w:rPr>
          <w:lang w:val="bg-BG"/>
        </w:rPr>
        <w:t xml:space="preserve">онвенция (виж също член 10.1) да получават и разпространяват информация или идеи на малцинствен език без намеса на </w:t>
      </w:r>
      <w:r w:rsidR="00743B7E" w:rsidRPr="001D11CD">
        <w:rPr>
          <w:lang w:val="bg-BG"/>
        </w:rPr>
        <w:t>държав</w:t>
      </w:r>
      <w:r w:rsidRPr="001D11CD">
        <w:rPr>
          <w:lang w:val="bg-BG"/>
        </w:rPr>
        <w:t>ните власти.</w:t>
      </w:r>
      <w:r w:rsidR="00743B7E" w:rsidRPr="001D11CD">
        <w:rPr>
          <w:lang w:val="bg-BG"/>
        </w:rPr>
        <w:t xml:space="preserve"> </w:t>
      </w:r>
    </w:p>
    <w:p w14:paraId="664B31F7" w14:textId="0307E864" w:rsidR="000B760F" w:rsidRPr="001D11CD" w:rsidRDefault="00743B7E" w:rsidP="000B760F">
      <w:pPr>
        <w:pStyle w:val="JuQuot"/>
        <w:rPr>
          <w:lang w:val="bg-BG"/>
        </w:rPr>
      </w:pPr>
      <w:r w:rsidRPr="001D11CD">
        <w:rPr>
          <w:lang w:val="bg-BG"/>
        </w:rPr>
        <w:t>Препоръка</w:t>
      </w:r>
    </w:p>
    <w:p w14:paraId="6DC8CBD6" w14:textId="48462CEA" w:rsidR="000B760F" w:rsidRPr="001D11CD" w:rsidRDefault="000B760F" w:rsidP="000B760F">
      <w:pPr>
        <w:pStyle w:val="JuQuot"/>
        <w:rPr>
          <w:lang w:val="bg-BG"/>
        </w:rPr>
      </w:pPr>
      <w:r w:rsidRPr="001D11CD">
        <w:rPr>
          <w:lang w:val="bg-BG"/>
        </w:rPr>
        <w:t>192.  </w:t>
      </w:r>
      <w:r w:rsidR="00743B7E" w:rsidRPr="001D11CD">
        <w:rPr>
          <w:lang w:val="bg-BG"/>
        </w:rPr>
        <w:t>Консултативният комитет призовава властите да премахнат забраната за използване на езици, различни от българския, по време на предизборни кампании.“</w:t>
      </w:r>
    </w:p>
    <w:p w14:paraId="4B40BB4A" w14:textId="2541E72D" w:rsidR="000B760F" w:rsidRPr="001D11CD" w:rsidRDefault="00743B7E" w:rsidP="00E21338">
      <w:pPr>
        <w:pStyle w:val="JuH1"/>
        <w:rPr>
          <w:lang w:val="bg-BG"/>
        </w:rPr>
      </w:pPr>
      <w:r w:rsidRPr="001D11CD">
        <w:rPr>
          <w:rFonts w:eastAsia="Times New Roman"/>
          <w:lang w:val="bg-BG" w:eastAsia="en-GB"/>
        </w:rPr>
        <w:t>Европейска комисия за демокрация чрез право (Венецианска комисия) и Служба на ОССЕ за демократични институции и права на човека (ОССЕ/</w:t>
      </w:r>
      <w:r w:rsidR="00E21338" w:rsidRPr="001D11CD">
        <w:rPr>
          <w:rFonts w:eastAsia="Times New Roman"/>
          <w:lang w:val="bg-BG" w:eastAsia="en-GB"/>
        </w:rPr>
        <w:t>СДИПЧ</w:t>
      </w:r>
      <w:r w:rsidRPr="001D11CD">
        <w:rPr>
          <w:rFonts w:eastAsia="Times New Roman"/>
          <w:lang w:val="bg-BG" w:eastAsia="en-GB"/>
        </w:rPr>
        <w:t>)</w:t>
      </w:r>
    </w:p>
    <w:bookmarkStart w:id="9" w:name="Para26new"/>
    <w:p w14:paraId="0D5DEB1D" w14:textId="72B90953" w:rsidR="000B760F" w:rsidRPr="001D11CD" w:rsidRDefault="000B760F" w:rsidP="000B760F">
      <w:pPr>
        <w:pStyle w:val="JuPara"/>
        <w:rPr>
          <w:rFonts w:eastAsia="Times New Roman"/>
          <w:lang w:val="bg-BG" w:eastAsia="en-GB"/>
        </w:rPr>
      </w:pPr>
      <w:r w:rsidRPr="001D11CD">
        <w:rPr>
          <w:rFonts w:eastAsia="Times New Roman"/>
          <w:lang w:val="bg-BG" w:eastAsia="en-GB"/>
        </w:rPr>
        <w:fldChar w:fldCharType="begin"/>
      </w:r>
      <w:r w:rsidRPr="001D11CD">
        <w:rPr>
          <w:rFonts w:eastAsia="Times New Roman"/>
          <w:lang w:val="bg-BG" w:eastAsia="en-GB"/>
        </w:rPr>
        <w:instrText xml:space="preserve"> SEQ level0 \*arabic \* MERGEFORMAT </w:instrText>
      </w:r>
      <w:r w:rsidRPr="001D11CD">
        <w:rPr>
          <w:rFonts w:eastAsia="Times New Roman"/>
          <w:lang w:val="bg-BG" w:eastAsia="en-GB"/>
        </w:rPr>
        <w:fldChar w:fldCharType="separate"/>
      </w:r>
      <w:r w:rsidRPr="001D11CD">
        <w:rPr>
          <w:rFonts w:eastAsia="Times New Roman"/>
          <w:lang w:val="bg-BG" w:eastAsia="en-GB"/>
        </w:rPr>
        <w:t>26</w:t>
      </w:r>
      <w:r w:rsidRPr="001D11CD">
        <w:rPr>
          <w:rFonts w:eastAsia="Times New Roman"/>
          <w:lang w:val="bg-BG" w:eastAsia="en-GB"/>
        </w:rPr>
        <w:fldChar w:fldCharType="end"/>
      </w:r>
      <w:bookmarkEnd w:id="9"/>
      <w:r w:rsidRPr="001D11CD">
        <w:rPr>
          <w:rFonts w:eastAsia="Times New Roman"/>
          <w:lang w:val="bg-BG" w:eastAsia="en-GB"/>
        </w:rPr>
        <w:t>.  </w:t>
      </w:r>
      <w:r w:rsidR="00510C39" w:rsidRPr="001D11CD">
        <w:rPr>
          <w:rFonts w:eastAsia="Times New Roman"/>
          <w:lang w:val="bg-BG" w:eastAsia="en-GB"/>
        </w:rPr>
        <w:t xml:space="preserve">Въпросът за разпоредбата от българския </w:t>
      </w:r>
      <w:r w:rsidR="009E44E6" w:rsidRPr="001D11CD">
        <w:rPr>
          <w:rFonts w:eastAsia="Times New Roman"/>
          <w:lang w:val="bg-BG" w:eastAsia="en-GB"/>
        </w:rPr>
        <w:t>И</w:t>
      </w:r>
      <w:r w:rsidR="00510C39" w:rsidRPr="001D11CD">
        <w:rPr>
          <w:rFonts w:eastAsia="Times New Roman"/>
          <w:lang w:val="bg-BG" w:eastAsia="en-GB"/>
        </w:rPr>
        <w:t>зборен кодекс (както във варианта от 2011 година, така и в този от 2014</w:t>
      </w:r>
      <w:r w:rsidR="00A34B62">
        <w:rPr>
          <w:rFonts w:eastAsia="Times New Roman"/>
          <w:lang w:val="bg-BG" w:eastAsia="en-GB"/>
        </w:rPr>
        <w:t xml:space="preserve"> година</w:t>
      </w:r>
      <w:r w:rsidR="00510C39" w:rsidRPr="001D11CD">
        <w:rPr>
          <w:rFonts w:eastAsia="Times New Roman"/>
          <w:lang w:val="bg-BG" w:eastAsia="en-GB"/>
        </w:rPr>
        <w:t>), която забранява използването на език, различен от български</w:t>
      </w:r>
      <w:r w:rsidR="001755D4" w:rsidRPr="001D11CD">
        <w:rPr>
          <w:rFonts w:eastAsia="Times New Roman"/>
          <w:lang w:val="bg-BG" w:eastAsia="en-GB"/>
        </w:rPr>
        <w:t>я,</w:t>
      </w:r>
      <w:r w:rsidR="00510C39" w:rsidRPr="001D11CD">
        <w:rPr>
          <w:rFonts w:eastAsia="Times New Roman"/>
          <w:lang w:val="bg-BG" w:eastAsia="en-GB"/>
        </w:rPr>
        <w:t xml:space="preserve"> по време на предизборна кампания, е </w:t>
      </w:r>
      <w:r w:rsidR="009E44E6" w:rsidRPr="001D11CD">
        <w:rPr>
          <w:rFonts w:eastAsia="Times New Roman"/>
          <w:lang w:val="bg-BG" w:eastAsia="en-GB"/>
        </w:rPr>
        <w:t>засегнат</w:t>
      </w:r>
      <w:r w:rsidR="00510C39" w:rsidRPr="001D11CD">
        <w:rPr>
          <w:rFonts w:eastAsia="Times New Roman"/>
          <w:lang w:val="bg-BG" w:eastAsia="en-GB"/>
        </w:rPr>
        <w:t xml:space="preserve"> в няколко съвместни становища на Венецианската комисия и Службата за демократични институц</w:t>
      </w:r>
      <w:r w:rsidR="001755D4" w:rsidRPr="001D11CD">
        <w:rPr>
          <w:rFonts w:eastAsia="Times New Roman"/>
          <w:lang w:val="bg-BG" w:eastAsia="en-GB"/>
        </w:rPr>
        <w:t xml:space="preserve">ии и права на човека на ОССЕ </w:t>
      </w:r>
      <w:r w:rsidRPr="001D11CD">
        <w:rPr>
          <w:lang w:val="bg-BG"/>
        </w:rPr>
        <w:t>(</w:t>
      </w:r>
      <w:r w:rsidR="00510C39" w:rsidRPr="001D11CD">
        <w:rPr>
          <w:lang w:val="bg-BG"/>
        </w:rPr>
        <w:t>ОССЕ/СДИПЧ</w:t>
      </w:r>
      <w:r w:rsidRPr="001D11CD">
        <w:rPr>
          <w:lang w:val="bg-BG"/>
        </w:rPr>
        <w:t>)</w:t>
      </w:r>
      <w:r w:rsidRPr="001D11CD">
        <w:rPr>
          <w:rFonts w:eastAsia="Times New Roman"/>
          <w:lang w:val="bg-BG" w:eastAsia="en-GB"/>
        </w:rPr>
        <w:t>.</w:t>
      </w:r>
    </w:p>
    <w:p w14:paraId="67117A38" w14:textId="41CD7B38" w:rsidR="000B760F" w:rsidRPr="001D11CD" w:rsidRDefault="000B760F" w:rsidP="000B760F">
      <w:pPr>
        <w:pStyle w:val="JuPara"/>
        <w:rPr>
          <w:rFonts w:eastAsia="Times New Roman"/>
          <w:lang w:val="bg-BG" w:eastAsia="en-GB"/>
        </w:rPr>
      </w:pPr>
      <w:r w:rsidRPr="001D11CD">
        <w:rPr>
          <w:rFonts w:eastAsia="Times New Roman"/>
          <w:lang w:val="bg-BG" w:eastAsia="en-GB"/>
        </w:rPr>
        <w:fldChar w:fldCharType="begin"/>
      </w:r>
      <w:r w:rsidRPr="001D11CD">
        <w:rPr>
          <w:rFonts w:eastAsia="Times New Roman"/>
          <w:lang w:val="bg-BG" w:eastAsia="en-GB"/>
        </w:rPr>
        <w:instrText xml:space="preserve"> SEQ level0 \*arabic \* MERGEFORMAT </w:instrText>
      </w:r>
      <w:r w:rsidRPr="001D11CD">
        <w:rPr>
          <w:rFonts w:eastAsia="Times New Roman"/>
          <w:lang w:val="bg-BG" w:eastAsia="en-GB"/>
        </w:rPr>
        <w:fldChar w:fldCharType="separate"/>
      </w:r>
      <w:r w:rsidRPr="001D11CD">
        <w:rPr>
          <w:rFonts w:eastAsia="Times New Roman"/>
          <w:lang w:val="bg-BG" w:eastAsia="en-GB"/>
        </w:rPr>
        <w:t>27</w:t>
      </w:r>
      <w:r w:rsidRPr="001D11CD">
        <w:rPr>
          <w:rFonts w:eastAsia="Times New Roman"/>
          <w:lang w:val="bg-BG" w:eastAsia="en-GB"/>
        </w:rPr>
        <w:fldChar w:fldCharType="end"/>
      </w:r>
      <w:r w:rsidRPr="001D11CD">
        <w:rPr>
          <w:rFonts w:eastAsia="Times New Roman"/>
          <w:lang w:val="bg-BG" w:eastAsia="en-GB"/>
        </w:rPr>
        <w:t>.  </w:t>
      </w:r>
      <w:r w:rsidR="001755D4" w:rsidRPr="001D11CD">
        <w:rPr>
          <w:rFonts w:eastAsia="Times New Roman"/>
          <w:lang w:val="bg-BG" w:eastAsia="en-GB"/>
        </w:rPr>
        <w:t xml:space="preserve">В съвместното </w:t>
      </w:r>
      <w:r w:rsidR="009E44E6" w:rsidRPr="001D11CD">
        <w:rPr>
          <w:rFonts w:eastAsia="Times New Roman"/>
          <w:lang w:val="bg-BG" w:eastAsia="en-GB"/>
        </w:rPr>
        <w:t>си</w:t>
      </w:r>
      <w:r w:rsidR="001755D4" w:rsidRPr="001D11CD">
        <w:rPr>
          <w:rFonts w:eastAsia="Times New Roman"/>
          <w:lang w:val="bg-BG" w:eastAsia="en-GB"/>
        </w:rPr>
        <w:t xml:space="preserve"> становище от </w:t>
      </w:r>
      <w:r w:rsidRPr="001D11CD">
        <w:rPr>
          <w:rFonts w:eastAsia="Times New Roman"/>
          <w:lang w:val="bg-BG" w:eastAsia="en-GB"/>
        </w:rPr>
        <w:t>2011</w:t>
      </w:r>
      <w:r w:rsidR="00C949F0" w:rsidRPr="001D11CD">
        <w:rPr>
          <w:rFonts w:eastAsia="Times New Roman"/>
          <w:lang w:val="bg-BG" w:eastAsia="en-GB"/>
        </w:rPr>
        <w:t> </w:t>
      </w:r>
      <w:r w:rsidR="001755D4" w:rsidRPr="001D11CD">
        <w:rPr>
          <w:rFonts w:eastAsia="Times New Roman"/>
          <w:lang w:val="bg-BG" w:eastAsia="en-GB"/>
        </w:rPr>
        <w:t>година</w:t>
      </w:r>
      <w:r w:rsidRPr="001D11CD">
        <w:rPr>
          <w:rFonts w:eastAsia="Times New Roman"/>
          <w:lang w:val="bg-BG" w:eastAsia="en-GB"/>
        </w:rPr>
        <w:t xml:space="preserve"> </w:t>
      </w:r>
      <w:r w:rsidR="001755D4" w:rsidRPr="001D11CD">
        <w:rPr>
          <w:rFonts w:eastAsia="Times New Roman"/>
          <w:lang w:val="bg-BG" w:eastAsia="en-GB"/>
        </w:rPr>
        <w:t>Венецианската комисия</w:t>
      </w:r>
      <w:r w:rsidRPr="001D11CD">
        <w:rPr>
          <w:rFonts w:eastAsia="Times New Roman"/>
          <w:lang w:val="bg-BG" w:eastAsia="en-GB"/>
        </w:rPr>
        <w:t xml:space="preserve"> </w:t>
      </w:r>
      <w:r w:rsidR="001755D4" w:rsidRPr="001D11CD">
        <w:rPr>
          <w:rFonts w:eastAsia="Times New Roman"/>
          <w:lang w:val="bg-BG" w:eastAsia="en-GB"/>
        </w:rPr>
        <w:t>и</w:t>
      </w:r>
      <w:r w:rsidRPr="001D11CD">
        <w:rPr>
          <w:rFonts w:eastAsia="Times New Roman"/>
          <w:lang w:val="bg-BG" w:eastAsia="en-GB"/>
        </w:rPr>
        <w:t xml:space="preserve"> </w:t>
      </w:r>
      <w:r w:rsidR="00510C39" w:rsidRPr="001D11CD">
        <w:rPr>
          <w:lang w:val="bg-BG"/>
        </w:rPr>
        <w:t>ОССЕ/СДИПЧ</w:t>
      </w:r>
      <w:r w:rsidRPr="001D11CD">
        <w:rPr>
          <w:rFonts w:eastAsia="Times New Roman"/>
          <w:lang w:val="bg-BG" w:eastAsia="en-GB"/>
        </w:rPr>
        <w:t xml:space="preserve"> </w:t>
      </w:r>
      <w:r w:rsidR="001755D4" w:rsidRPr="001D11CD">
        <w:rPr>
          <w:lang w:val="bg-BG"/>
        </w:rPr>
        <w:t>заявяват следното</w:t>
      </w:r>
      <w:r w:rsidRPr="001D11CD">
        <w:rPr>
          <w:rFonts w:eastAsia="Times New Roman"/>
          <w:lang w:val="bg-BG" w:eastAsia="en-GB"/>
        </w:rPr>
        <w:t>:</w:t>
      </w:r>
    </w:p>
    <w:p w14:paraId="248AA983" w14:textId="3800BCBE" w:rsidR="000B760F" w:rsidRPr="001D11CD" w:rsidRDefault="00C949F0" w:rsidP="000B760F">
      <w:pPr>
        <w:pStyle w:val="JuQuot"/>
        <w:rPr>
          <w:lang w:val="bg-BG"/>
        </w:rPr>
      </w:pPr>
      <w:r w:rsidRPr="001D11CD">
        <w:rPr>
          <w:lang w:val="bg-BG"/>
        </w:rPr>
        <w:t>„</w:t>
      </w:r>
      <w:r w:rsidR="000B760F" w:rsidRPr="001D11CD">
        <w:rPr>
          <w:lang w:val="bg-BG"/>
        </w:rPr>
        <w:t> 65.  </w:t>
      </w:r>
      <w:r w:rsidR="00510C39" w:rsidRPr="001D11CD">
        <w:rPr>
          <w:lang w:val="bg-BG"/>
        </w:rPr>
        <w:t>ОССЕ/СДИПЧ</w:t>
      </w:r>
      <w:r w:rsidR="000B760F" w:rsidRPr="001D11CD">
        <w:rPr>
          <w:lang w:val="bg-BG"/>
        </w:rPr>
        <w:t xml:space="preserve"> </w:t>
      </w:r>
      <w:r w:rsidR="001755D4" w:rsidRPr="001D11CD">
        <w:rPr>
          <w:lang w:val="bg-BG"/>
        </w:rPr>
        <w:t xml:space="preserve">препоръча на лицата, принадлежащи към малцинства, да бъде позволено да използват майчиния си език по време на предизборна кампания, за да се насърчи тяхното ефективно участие в обществените </w:t>
      </w:r>
      <w:r w:rsidR="00E02883" w:rsidRPr="001D11CD">
        <w:rPr>
          <w:lang w:val="bg-BG"/>
        </w:rPr>
        <w:t>дела</w:t>
      </w:r>
      <w:r w:rsidR="001755D4" w:rsidRPr="001D11CD">
        <w:rPr>
          <w:lang w:val="bg-BG"/>
        </w:rPr>
        <w:t xml:space="preserve">. Тази препоръка не бе взета предвид в Кодекса, видно от член 133 (2), който изисква „предизборната кампания да се води на български език“. От първостепенно значение е лицата, принадлежащи към малцинства, да имат достъп до информация и други официални материали, свързани с изборите, които </w:t>
      </w:r>
      <w:r w:rsidR="00D4220A" w:rsidRPr="001D11CD">
        <w:rPr>
          <w:lang w:val="bg-BG"/>
        </w:rPr>
        <w:t xml:space="preserve">да </w:t>
      </w:r>
      <w:r w:rsidR="001755D4" w:rsidRPr="001D11CD">
        <w:rPr>
          <w:lang w:val="bg-BG"/>
        </w:rPr>
        <w:t>са написани на техните езици. Тази разпоредба би повишила разбирането на изборния процес от страна на всички общности.</w:t>
      </w:r>
      <w:r w:rsidR="00D4220A" w:rsidRPr="001D11CD">
        <w:rPr>
          <w:lang w:val="bg-BG"/>
        </w:rPr>
        <w:t>“</w:t>
      </w:r>
    </w:p>
    <w:p w14:paraId="7695C108" w14:textId="6309F277"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28</w:t>
      </w:r>
      <w:r w:rsidRPr="001D11CD">
        <w:rPr>
          <w:lang w:val="bg-BG"/>
        </w:rPr>
        <w:fldChar w:fldCharType="end"/>
      </w:r>
      <w:r w:rsidR="000B760F" w:rsidRPr="001D11CD">
        <w:rPr>
          <w:lang w:val="bg-BG"/>
        </w:rPr>
        <w:t>.  </w:t>
      </w:r>
      <w:r w:rsidR="004E1F25" w:rsidRPr="001D11CD">
        <w:rPr>
          <w:lang w:val="bg-BG"/>
        </w:rPr>
        <w:t>В съвместното си становище от 2014</w:t>
      </w:r>
      <w:r w:rsidR="00C949F0" w:rsidRPr="001D11CD">
        <w:rPr>
          <w:lang w:val="bg-BG"/>
        </w:rPr>
        <w:t> г.</w:t>
      </w:r>
      <w:r w:rsidR="004E1F25" w:rsidRPr="001D11CD">
        <w:rPr>
          <w:lang w:val="bg-BG"/>
        </w:rPr>
        <w:t xml:space="preserve"> същите институции отбелязват следното:</w:t>
      </w:r>
    </w:p>
    <w:p w14:paraId="6A1B43D1" w14:textId="0D2467D1" w:rsidR="000B760F" w:rsidRPr="001D11CD" w:rsidRDefault="004E1F25" w:rsidP="000B760F">
      <w:pPr>
        <w:pStyle w:val="JuQuot"/>
        <w:rPr>
          <w:lang w:val="bg-BG"/>
        </w:rPr>
      </w:pPr>
      <w:r w:rsidRPr="001D11CD">
        <w:rPr>
          <w:lang w:val="bg-BG"/>
        </w:rPr>
        <w:t>„</w:t>
      </w:r>
      <w:r w:rsidR="000B760F" w:rsidRPr="001D11CD">
        <w:rPr>
          <w:lang w:val="bg-BG"/>
        </w:rPr>
        <w:t>78.  </w:t>
      </w:r>
      <w:r w:rsidRPr="001D11CD">
        <w:rPr>
          <w:lang w:val="bg-BG"/>
        </w:rPr>
        <w:t xml:space="preserve">Проектът за кодекс гласи, че „българският е официален език на предизборната кампания“, което лишава малцинствата от възможността да бъде насърчавано ефективното им участие в обществените </w:t>
      </w:r>
      <w:r w:rsidR="00FE2672" w:rsidRPr="001D11CD">
        <w:rPr>
          <w:lang w:val="bg-BG"/>
        </w:rPr>
        <w:t>дейности</w:t>
      </w:r>
      <w:r w:rsidRPr="001D11CD">
        <w:rPr>
          <w:lang w:val="bg-BG"/>
        </w:rPr>
        <w:t xml:space="preserve"> чрез избори. ОССЕ/СДИПЧ и Венецианската комисия продължават да препоръчват промяна на тази разпоредба.“</w:t>
      </w:r>
    </w:p>
    <w:bookmarkStart w:id="10" w:name="Para25"/>
    <w:bookmarkStart w:id="11" w:name="Para29new"/>
    <w:p w14:paraId="3305A921" w14:textId="2C297365"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29</w:t>
      </w:r>
      <w:r w:rsidRPr="001D11CD">
        <w:rPr>
          <w:lang w:val="bg-BG"/>
        </w:rPr>
        <w:fldChar w:fldCharType="end"/>
      </w:r>
      <w:bookmarkEnd w:id="10"/>
      <w:bookmarkEnd w:id="11"/>
      <w:r w:rsidRPr="001D11CD">
        <w:rPr>
          <w:lang w:val="bg-BG"/>
        </w:rPr>
        <w:t>.  </w:t>
      </w:r>
      <w:r w:rsidR="004E1F25" w:rsidRPr="001D11CD">
        <w:rPr>
          <w:lang w:val="bg-BG"/>
        </w:rPr>
        <w:t>В съвместното си становище от</w:t>
      </w:r>
      <w:r w:rsidR="004E1F25" w:rsidRPr="001D11CD">
        <w:rPr>
          <w:rStyle w:val="JuParaChar"/>
          <w:lang w:val="bg-BG"/>
        </w:rPr>
        <w:t xml:space="preserve"> 2017</w:t>
      </w:r>
      <w:r w:rsidR="00C949F0" w:rsidRPr="001D11CD">
        <w:rPr>
          <w:rStyle w:val="JuParaChar"/>
          <w:lang w:val="bg-BG"/>
        </w:rPr>
        <w:t> г.</w:t>
      </w:r>
      <w:r w:rsidR="004E1F25" w:rsidRPr="001D11CD">
        <w:rPr>
          <w:lang w:val="bg-BG"/>
        </w:rPr>
        <w:t> те повтарят тази си позиция:</w:t>
      </w:r>
      <w:r w:rsidRPr="001D11CD">
        <w:rPr>
          <w:lang w:val="bg-BG"/>
        </w:rPr>
        <w:t xml:space="preserve"> </w:t>
      </w:r>
    </w:p>
    <w:p w14:paraId="7B3628A8" w14:textId="40ECC7C9" w:rsidR="000B760F" w:rsidRPr="001D11CD" w:rsidRDefault="004E1F25" w:rsidP="000B760F">
      <w:pPr>
        <w:pStyle w:val="JuQuot"/>
        <w:rPr>
          <w:lang w:val="bg-BG"/>
        </w:rPr>
      </w:pPr>
      <w:r w:rsidRPr="001D11CD">
        <w:rPr>
          <w:lang w:val="bg-BG"/>
        </w:rPr>
        <w:t>„</w:t>
      </w:r>
      <w:r w:rsidR="000B760F" w:rsidRPr="001D11CD">
        <w:rPr>
          <w:lang w:val="bg-BG"/>
        </w:rPr>
        <w:t>54.  </w:t>
      </w:r>
      <w:r w:rsidRPr="001D11CD">
        <w:rPr>
          <w:lang w:val="bg-BG"/>
        </w:rPr>
        <w:t>Ч</w:t>
      </w:r>
      <w:r w:rsidR="001A14B1" w:rsidRPr="001D11CD">
        <w:rPr>
          <w:lang w:val="bg-BG"/>
        </w:rPr>
        <w:t>лен</w:t>
      </w:r>
      <w:r w:rsidR="000B760F" w:rsidRPr="001D11CD">
        <w:rPr>
          <w:lang w:val="bg-BG"/>
        </w:rPr>
        <w:t xml:space="preserve"> 181 (2) </w:t>
      </w:r>
      <w:r w:rsidRPr="001D11CD">
        <w:rPr>
          <w:lang w:val="bg-BG"/>
        </w:rPr>
        <w:t xml:space="preserve">гласи, че българският е официален език на предизборната кампания. </w:t>
      </w:r>
      <w:r w:rsidR="001D074C" w:rsidRPr="001D11CD">
        <w:rPr>
          <w:lang w:val="bg-BG"/>
        </w:rPr>
        <w:t>Като п</w:t>
      </w:r>
      <w:r w:rsidRPr="001D11CD">
        <w:rPr>
          <w:lang w:val="bg-BG"/>
        </w:rPr>
        <w:t>ризнава важността на официалния език, тази разпоредба мо</w:t>
      </w:r>
      <w:r w:rsidR="001D074C" w:rsidRPr="001D11CD">
        <w:rPr>
          <w:lang w:val="bg-BG"/>
        </w:rPr>
        <w:t>же д</w:t>
      </w:r>
      <w:r w:rsidRPr="001D11CD">
        <w:rPr>
          <w:lang w:val="bg-BG"/>
        </w:rPr>
        <w:t xml:space="preserve">а лиши </w:t>
      </w:r>
      <w:r w:rsidR="001D074C" w:rsidRPr="001D11CD">
        <w:rPr>
          <w:lang w:val="bg-BG"/>
        </w:rPr>
        <w:t>определени</w:t>
      </w:r>
      <w:r w:rsidRPr="001D11CD">
        <w:rPr>
          <w:lang w:val="bg-BG"/>
        </w:rPr>
        <w:t xml:space="preserve"> лица, принадлежащи към малцинства, от възможността </w:t>
      </w:r>
      <w:r w:rsidR="001D074C" w:rsidRPr="001D11CD">
        <w:rPr>
          <w:lang w:val="bg-BG"/>
        </w:rPr>
        <w:t>з</w:t>
      </w:r>
      <w:r w:rsidRPr="001D11CD">
        <w:rPr>
          <w:lang w:val="bg-BG"/>
        </w:rPr>
        <w:t xml:space="preserve">а </w:t>
      </w:r>
      <w:r w:rsidR="00FE2672" w:rsidRPr="001D11CD">
        <w:rPr>
          <w:lang w:val="bg-BG"/>
        </w:rPr>
        <w:t>активно</w:t>
      </w:r>
      <w:r w:rsidRPr="001D11CD">
        <w:rPr>
          <w:lang w:val="bg-BG"/>
        </w:rPr>
        <w:t xml:space="preserve"> </w:t>
      </w:r>
      <w:r w:rsidR="001D074C" w:rsidRPr="001D11CD">
        <w:rPr>
          <w:lang w:val="bg-BG"/>
        </w:rPr>
        <w:t xml:space="preserve">участие </w:t>
      </w:r>
      <w:r w:rsidRPr="001D11CD">
        <w:rPr>
          <w:lang w:val="bg-BG"/>
        </w:rPr>
        <w:t>в обществени</w:t>
      </w:r>
      <w:r w:rsidR="001D074C" w:rsidRPr="001D11CD">
        <w:rPr>
          <w:lang w:val="bg-BG"/>
        </w:rPr>
        <w:t>те действия</w:t>
      </w:r>
      <w:r w:rsidRPr="001D11CD">
        <w:rPr>
          <w:lang w:val="bg-BG"/>
        </w:rPr>
        <w:t xml:space="preserve"> чрез изборни</w:t>
      </w:r>
      <w:r w:rsidR="001D074C" w:rsidRPr="001D11CD">
        <w:rPr>
          <w:lang w:val="bg-BG"/>
        </w:rPr>
        <w:t>я</w:t>
      </w:r>
      <w:r w:rsidRPr="001D11CD">
        <w:rPr>
          <w:lang w:val="bg-BG"/>
        </w:rPr>
        <w:t xml:space="preserve"> процес. Подобни ограничения на свободата на изразяване на мнение, </w:t>
      </w:r>
      <w:r w:rsidR="001D074C" w:rsidRPr="001D11CD">
        <w:rPr>
          <w:lang w:val="bg-BG"/>
        </w:rPr>
        <w:t xml:space="preserve">провъзгласена </w:t>
      </w:r>
      <w:r w:rsidRPr="001D11CD">
        <w:rPr>
          <w:lang w:val="bg-BG"/>
        </w:rPr>
        <w:t>в член 10 от Европейската конвенция за правата на човека и други международни стандарти, могат да се считат за непропорционални. ОССЕ/СДИПЧ и Венецианската комисия отново препоръчват, както в съвместн</w:t>
      </w:r>
      <w:r w:rsidR="00D44607" w:rsidRPr="001D11CD">
        <w:rPr>
          <w:lang w:val="bg-BG"/>
        </w:rPr>
        <w:t>ите си становища от 2011 и 2014</w:t>
      </w:r>
      <w:r w:rsidR="0008605B" w:rsidRPr="001D11CD">
        <w:rPr>
          <w:lang w:val="bg-BG"/>
        </w:rPr>
        <w:t xml:space="preserve"> година</w:t>
      </w:r>
      <w:r w:rsidRPr="001D11CD">
        <w:rPr>
          <w:lang w:val="bg-BG"/>
        </w:rPr>
        <w:t xml:space="preserve">, </w:t>
      </w:r>
      <w:r w:rsidR="00A34B62" w:rsidRPr="001D11CD">
        <w:rPr>
          <w:lang w:val="bg-BG"/>
        </w:rPr>
        <w:t xml:space="preserve">тази разпоредба </w:t>
      </w:r>
      <w:r w:rsidRPr="001D11CD">
        <w:rPr>
          <w:lang w:val="bg-BG"/>
        </w:rPr>
        <w:t xml:space="preserve">да се </w:t>
      </w:r>
      <w:r w:rsidR="00D44607" w:rsidRPr="001D11CD">
        <w:rPr>
          <w:lang w:val="bg-BG"/>
        </w:rPr>
        <w:t>преосмисли</w:t>
      </w:r>
      <w:r w:rsidRPr="001D11CD">
        <w:rPr>
          <w:lang w:val="bg-BG"/>
        </w:rPr>
        <w:t xml:space="preserve"> и да се позволи на националните малцинства да водят </w:t>
      </w:r>
      <w:r w:rsidR="00D44607" w:rsidRPr="001D11CD">
        <w:rPr>
          <w:lang w:val="bg-BG"/>
        </w:rPr>
        <w:t xml:space="preserve">предизборна </w:t>
      </w:r>
      <w:r w:rsidRPr="001D11CD">
        <w:rPr>
          <w:lang w:val="bg-BG"/>
        </w:rPr>
        <w:t>кампани</w:t>
      </w:r>
      <w:r w:rsidR="00D44607" w:rsidRPr="001D11CD">
        <w:rPr>
          <w:lang w:val="bg-BG"/>
        </w:rPr>
        <w:t>я</w:t>
      </w:r>
      <w:r w:rsidRPr="001D11CD">
        <w:rPr>
          <w:lang w:val="bg-BG"/>
        </w:rPr>
        <w:t xml:space="preserve"> на с</w:t>
      </w:r>
      <w:r w:rsidR="0008605B" w:rsidRPr="001D11CD">
        <w:rPr>
          <w:lang w:val="bg-BG"/>
        </w:rPr>
        <w:t xml:space="preserve">воя </w:t>
      </w:r>
      <w:r w:rsidRPr="001D11CD">
        <w:rPr>
          <w:lang w:val="bg-BG"/>
        </w:rPr>
        <w:t>език. Както се посочва в съвместното становище от 2011</w:t>
      </w:r>
      <w:r w:rsidR="007F2A7C" w:rsidRPr="001D11CD">
        <w:rPr>
          <w:lang w:val="bg-BG"/>
        </w:rPr>
        <w:t xml:space="preserve"> година</w:t>
      </w:r>
      <w:r w:rsidRPr="001D11CD">
        <w:rPr>
          <w:lang w:val="bg-BG"/>
        </w:rPr>
        <w:t>, „</w:t>
      </w:r>
      <w:r w:rsidR="00D44607" w:rsidRPr="001D11CD">
        <w:rPr>
          <w:lang w:val="bg-BG"/>
        </w:rPr>
        <w:t>от първостепенно значение е лицата, принадлежащи към малцинства, да имат достъп до информация и други официални материали, свързани с изборите, които да са написани на техните езици. Тази разпоредба би повишила разбирането на изборния процес от страна на всички общности.</w:t>
      </w:r>
      <w:r w:rsidRPr="001D11CD">
        <w:rPr>
          <w:lang w:val="bg-BG"/>
        </w:rPr>
        <w:t xml:space="preserve">“ ОССЕ/СДИПЧ и ПАСЕ изразиха същата загриженост в своите доклади за наблюдение на </w:t>
      </w:r>
      <w:r w:rsidR="00C436B9" w:rsidRPr="001D11CD">
        <w:rPr>
          <w:lang w:val="bg-BG"/>
        </w:rPr>
        <w:t xml:space="preserve">парламентарните </w:t>
      </w:r>
      <w:r w:rsidRPr="001D11CD">
        <w:rPr>
          <w:lang w:val="bg-BG"/>
        </w:rPr>
        <w:t xml:space="preserve">избори през май 2013 </w:t>
      </w:r>
      <w:r w:rsidR="005D5F0E">
        <w:rPr>
          <w:lang w:val="bg-BG"/>
        </w:rPr>
        <w:t xml:space="preserve">г. </w:t>
      </w:r>
      <w:r w:rsidRPr="001D11CD">
        <w:rPr>
          <w:lang w:val="bg-BG"/>
        </w:rPr>
        <w:t xml:space="preserve">и </w:t>
      </w:r>
      <w:r w:rsidR="00C436B9" w:rsidRPr="001D11CD">
        <w:rPr>
          <w:lang w:val="bg-BG"/>
        </w:rPr>
        <w:t xml:space="preserve">на </w:t>
      </w:r>
      <w:r w:rsidRPr="001D11CD">
        <w:rPr>
          <w:lang w:val="bg-BG"/>
        </w:rPr>
        <w:t xml:space="preserve">предсрочните парламентарни избори </w:t>
      </w:r>
      <w:r w:rsidR="00C436B9" w:rsidRPr="001D11CD">
        <w:rPr>
          <w:lang w:val="bg-BG"/>
        </w:rPr>
        <w:t>през</w:t>
      </w:r>
      <w:r w:rsidRPr="001D11CD">
        <w:rPr>
          <w:lang w:val="bg-BG"/>
        </w:rPr>
        <w:t xml:space="preserve"> октомври 2014</w:t>
      </w:r>
      <w:r w:rsidR="005D5F0E">
        <w:rPr>
          <w:lang w:val="bg-BG"/>
        </w:rPr>
        <w:t xml:space="preserve"> г.</w:t>
      </w:r>
      <w:r w:rsidRPr="001D11CD">
        <w:rPr>
          <w:lang w:val="bg-BG"/>
        </w:rPr>
        <w:t xml:space="preserve">, </w:t>
      </w:r>
      <w:r w:rsidR="00C436B9" w:rsidRPr="001D11CD">
        <w:rPr>
          <w:lang w:val="bg-BG"/>
        </w:rPr>
        <w:t xml:space="preserve">като </w:t>
      </w:r>
      <w:r w:rsidRPr="001D11CD">
        <w:rPr>
          <w:lang w:val="bg-BG"/>
        </w:rPr>
        <w:t>препоръч</w:t>
      </w:r>
      <w:r w:rsidR="0008605B" w:rsidRPr="001D11CD">
        <w:rPr>
          <w:lang w:val="bg-BG"/>
        </w:rPr>
        <w:t>аха</w:t>
      </w:r>
      <w:r w:rsidRPr="001D11CD">
        <w:rPr>
          <w:lang w:val="bg-BG"/>
        </w:rPr>
        <w:t xml:space="preserve"> т</w:t>
      </w:r>
      <w:r w:rsidR="00C436B9" w:rsidRPr="001D11CD">
        <w:rPr>
          <w:lang w:val="bg-BG"/>
        </w:rPr>
        <w:t xml:space="preserve">ова </w:t>
      </w:r>
      <w:r w:rsidRPr="001D11CD">
        <w:rPr>
          <w:lang w:val="bg-BG"/>
        </w:rPr>
        <w:t>да бъд</w:t>
      </w:r>
      <w:r w:rsidR="00C436B9" w:rsidRPr="001D11CD">
        <w:rPr>
          <w:lang w:val="bg-BG"/>
        </w:rPr>
        <w:t>е</w:t>
      </w:r>
      <w:r w:rsidRPr="001D11CD">
        <w:rPr>
          <w:lang w:val="bg-BG"/>
        </w:rPr>
        <w:t xml:space="preserve"> коригиран</w:t>
      </w:r>
      <w:r w:rsidR="00C436B9" w:rsidRPr="001D11CD">
        <w:rPr>
          <w:lang w:val="bg-BG"/>
        </w:rPr>
        <w:t>о</w:t>
      </w:r>
      <w:r w:rsidRPr="001D11CD">
        <w:rPr>
          <w:lang w:val="bg-BG"/>
        </w:rPr>
        <w:t>.</w:t>
      </w:r>
      <w:r w:rsidR="00C436B9" w:rsidRPr="001D11CD">
        <w:rPr>
          <w:lang w:val="bg-BG"/>
        </w:rPr>
        <w:t>“</w:t>
      </w:r>
    </w:p>
    <w:p w14:paraId="67C2B4C8" w14:textId="77ADAF6B"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30</w:t>
      </w:r>
      <w:r w:rsidRPr="001D11CD">
        <w:rPr>
          <w:lang w:val="bg-BG"/>
        </w:rPr>
        <w:fldChar w:fldCharType="end"/>
      </w:r>
      <w:r w:rsidR="000B760F" w:rsidRPr="001D11CD">
        <w:rPr>
          <w:lang w:val="bg-BG"/>
        </w:rPr>
        <w:t>.  </w:t>
      </w:r>
      <w:r w:rsidR="00C436B9" w:rsidRPr="001D11CD">
        <w:rPr>
          <w:lang w:val="bg-BG"/>
        </w:rPr>
        <w:t>В няколко доклада от наблюдението на избори, приети между 2013</w:t>
      </w:r>
      <w:r w:rsidR="00C949F0" w:rsidRPr="001D11CD">
        <w:rPr>
          <w:lang w:val="bg-BG"/>
        </w:rPr>
        <w:t> г.</w:t>
      </w:r>
      <w:r w:rsidR="00C436B9" w:rsidRPr="001D11CD">
        <w:rPr>
          <w:lang w:val="bg-BG"/>
        </w:rPr>
        <w:t xml:space="preserve"> и 2017</w:t>
      </w:r>
      <w:r w:rsidR="00C949F0" w:rsidRPr="001D11CD">
        <w:rPr>
          <w:lang w:val="bg-BG"/>
        </w:rPr>
        <w:t> г.</w:t>
      </w:r>
      <w:r w:rsidR="00C436B9" w:rsidRPr="001D11CD">
        <w:rPr>
          <w:lang w:val="bg-BG"/>
        </w:rPr>
        <w:t xml:space="preserve"> от ОССЕ/СДИПЧ, </w:t>
      </w:r>
      <w:r w:rsidR="003D6E6D" w:rsidRPr="001D11CD">
        <w:rPr>
          <w:lang w:val="bg-BG"/>
        </w:rPr>
        <w:t>са отбелязани</w:t>
      </w:r>
      <w:r w:rsidR="00C436B9" w:rsidRPr="001D11CD">
        <w:rPr>
          <w:lang w:val="bg-BG"/>
        </w:rPr>
        <w:t xml:space="preserve"> препоръки като </w:t>
      </w:r>
      <w:r w:rsidR="003D6E6D" w:rsidRPr="001D11CD">
        <w:rPr>
          <w:lang w:val="bg-BG"/>
        </w:rPr>
        <w:t>следната</w:t>
      </w:r>
      <w:r w:rsidR="00C436B9" w:rsidRPr="001D11CD">
        <w:rPr>
          <w:lang w:val="bg-BG"/>
        </w:rPr>
        <w:t>, взет</w:t>
      </w:r>
      <w:r w:rsidR="003D6E6D" w:rsidRPr="001D11CD">
        <w:rPr>
          <w:lang w:val="bg-BG"/>
        </w:rPr>
        <w:t>а</w:t>
      </w:r>
      <w:r w:rsidR="00C436B9" w:rsidRPr="001D11CD">
        <w:rPr>
          <w:lang w:val="bg-BG"/>
        </w:rPr>
        <w:t xml:space="preserve"> от окончателния доклад </w:t>
      </w:r>
      <w:r w:rsidR="00AC7499" w:rsidRPr="001D11CD">
        <w:rPr>
          <w:lang w:val="bg-BG"/>
        </w:rPr>
        <w:t>от</w:t>
      </w:r>
      <w:r w:rsidR="00C436B9" w:rsidRPr="001D11CD">
        <w:rPr>
          <w:lang w:val="bg-BG"/>
        </w:rPr>
        <w:t xml:space="preserve"> наблюдението на предсрочните </w:t>
      </w:r>
      <w:r w:rsidR="003D6E6D" w:rsidRPr="001D11CD">
        <w:rPr>
          <w:lang w:val="bg-BG"/>
        </w:rPr>
        <w:t>парламентарни</w:t>
      </w:r>
      <w:r w:rsidR="00C436B9" w:rsidRPr="001D11CD">
        <w:rPr>
          <w:lang w:val="bg-BG"/>
        </w:rPr>
        <w:t xml:space="preserve"> избори през 2013</w:t>
      </w:r>
      <w:r w:rsidR="00C949F0" w:rsidRPr="001D11CD">
        <w:rPr>
          <w:lang w:val="bg-BG"/>
        </w:rPr>
        <w:t> г.</w:t>
      </w:r>
      <w:r w:rsidR="000B760F" w:rsidRPr="001D11CD">
        <w:rPr>
          <w:lang w:val="bg-BG"/>
        </w:rPr>
        <w:t>:</w:t>
      </w:r>
    </w:p>
    <w:p w14:paraId="459E69F2" w14:textId="3E229525" w:rsidR="003D6E6D" w:rsidRPr="001D11CD" w:rsidRDefault="000A12CD" w:rsidP="000B760F">
      <w:pPr>
        <w:pStyle w:val="JuQuot"/>
        <w:rPr>
          <w:lang w:val="bg-BG"/>
        </w:rPr>
      </w:pPr>
      <w:r w:rsidRPr="001D11CD">
        <w:rPr>
          <w:lang w:val="bg-BG"/>
        </w:rPr>
        <w:t>„</w:t>
      </w:r>
      <w:r w:rsidR="003D6E6D" w:rsidRPr="001D11CD">
        <w:rPr>
          <w:lang w:val="bg-BG"/>
        </w:rPr>
        <w:t xml:space="preserve">На лицата, които </w:t>
      </w:r>
      <w:r w:rsidR="00E02883" w:rsidRPr="001D11CD">
        <w:rPr>
          <w:lang w:val="bg-BG"/>
        </w:rPr>
        <w:t>се идентифицират като</w:t>
      </w:r>
      <w:r w:rsidR="003D6E6D" w:rsidRPr="001D11CD">
        <w:rPr>
          <w:lang w:val="bg-BG"/>
        </w:rPr>
        <w:t xml:space="preserve"> принадлежащи към малцинства, трябва да бъде позволено да използват майчиния си език в предизборна</w:t>
      </w:r>
      <w:r w:rsidR="00E02883" w:rsidRPr="001D11CD">
        <w:rPr>
          <w:lang w:val="bg-BG"/>
        </w:rPr>
        <w:t>та</w:t>
      </w:r>
      <w:r w:rsidR="003D6E6D" w:rsidRPr="001D11CD">
        <w:rPr>
          <w:lang w:val="bg-BG"/>
        </w:rPr>
        <w:t xml:space="preserve"> кампания, за да се насърчи ефективното им участие в обществените </w:t>
      </w:r>
      <w:r w:rsidR="00E02883" w:rsidRPr="001D11CD">
        <w:rPr>
          <w:lang w:val="bg-BG"/>
        </w:rPr>
        <w:t>дела</w:t>
      </w:r>
      <w:r w:rsidR="003D6E6D" w:rsidRPr="001D11CD">
        <w:rPr>
          <w:lang w:val="bg-BG"/>
        </w:rPr>
        <w:t xml:space="preserve">. Може също да се обмисли предоставянето на избирателите на информация и други официални </w:t>
      </w:r>
      <w:r w:rsidR="00E02883" w:rsidRPr="001D11CD">
        <w:rPr>
          <w:lang w:val="bg-BG"/>
        </w:rPr>
        <w:t>пред</w:t>
      </w:r>
      <w:r w:rsidR="003D6E6D" w:rsidRPr="001D11CD">
        <w:rPr>
          <w:lang w:val="bg-BG"/>
        </w:rPr>
        <w:t xml:space="preserve">изборни </w:t>
      </w:r>
      <w:r w:rsidR="00E47F73" w:rsidRPr="001D11CD">
        <w:rPr>
          <w:lang w:val="bg-BG"/>
        </w:rPr>
        <w:t xml:space="preserve">материали </w:t>
      </w:r>
      <w:r w:rsidR="003D6E6D" w:rsidRPr="001D11CD">
        <w:rPr>
          <w:lang w:val="bg-BG"/>
        </w:rPr>
        <w:t xml:space="preserve">на малцинствени езици, </w:t>
      </w:r>
      <w:r w:rsidRPr="001D11CD">
        <w:rPr>
          <w:lang w:val="bg-BG"/>
        </w:rPr>
        <w:t>което би могло да увеличи разбирането на изборния процес</w:t>
      </w:r>
      <w:r w:rsidR="00E47F73" w:rsidRPr="001D11CD">
        <w:rPr>
          <w:lang w:val="bg-BG"/>
        </w:rPr>
        <w:t>.“</w:t>
      </w:r>
      <w:r w:rsidR="003D6E6D" w:rsidRPr="001D11CD">
        <w:rPr>
          <w:lang w:val="bg-BG"/>
        </w:rPr>
        <w:t xml:space="preserve"> </w:t>
      </w:r>
    </w:p>
    <w:p w14:paraId="5BA28982" w14:textId="6845D4B9" w:rsidR="000B760F" w:rsidRPr="001D11CD" w:rsidRDefault="00E47F73" w:rsidP="00E47F73">
      <w:pPr>
        <w:pStyle w:val="JuH1"/>
        <w:rPr>
          <w:lang w:val="bg-BG"/>
        </w:rPr>
      </w:pPr>
      <w:r w:rsidRPr="001D11CD">
        <w:rPr>
          <w:lang w:val="bg-BG"/>
        </w:rPr>
        <w:t>Конгрес на местните и регионални власти на Съвета на Европа</w:t>
      </w:r>
    </w:p>
    <w:p w14:paraId="0EBBEDC3" w14:textId="328E11BA" w:rsidR="00A87676"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31</w:t>
      </w:r>
      <w:r w:rsidRPr="001D11CD">
        <w:rPr>
          <w:lang w:val="bg-BG"/>
        </w:rPr>
        <w:fldChar w:fldCharType="end"/>
      </w:r>
      <w:r w:rsidR="000B760F" w:rsidRPr="001D11CD">
        <w:rPr>
          <w:lang w:val="bg-BG"/>
        </w:rPr>
        <w:t>.  </w:t>
      </w:r>
      <w:r w:rsidR="00A87676" w:rsidRPr="001D11CD">
        <w:rPr>
          <w:lang w:val="bg-BG"/>
        </w:rPr>
        <w:t>В точка 5 г) от Препоръка 273 (2009) на Конгреса на местните и регионални власти на Съвета на Европа, озаглавена „Равен достъп до местни и регионални избори“, Конгрес</w:t>
      </w:r>
      <w:r w:rsidR="00AC7499" w:rsidRPr="001D11CD">
        <w:rPr>
          <w:lang w:val="bg-BG"/>
        </w:rPr>
        <w:t>ът</w:t>
      </w:r>
      <w:r w:rsidR="00A87676" w:rsidRPr="001D11CD">
        <w:rPr>
          <w:lang w:val="bg-BG"/>
        </w:rPr>
        <w:t xml:space="preserve"> призовава Комитета на министрите да насърчи държавите членки:</w:t>
      </w:r>
    </w:p>
    <w:p w14:paraId="6DD18AAC" w14:textId="60D2F16A" w:rsidR="007523AB" w:rsidRPr="001D11CD" w:rsidRDefault="00A87676" w:rsidP="000B760F">
      <w:pPr>
        <w:pStyle w:val="JuQuot"/>
        <w:rPr>
          <w:lang w:val="bg-BG"/>
        </w:rPr>
      </w:pPr>
      <w:r w:rsidRPr="001D11CD">
        <w:rPr>
          <w:lang w:val="bg-BG"/>
        </w:rPr>
        <w:t xml:space="preserve"> „</w:t>
      </w:r>
      <w:r w:rsidR="007523AB" w:rsidRPr="001D11CD">
        <w:rPr>
          <w:lang w:val="bg-BG"/>
        </w:rPr>
        <w:t>да при</w:t>
      </w:r>
      <w:r w:rsidR="00AC7499" w:rsidRPr="001D11CD">
        <w:rPr>
          <w:lang w:val="bg-BG"/>
        </w:rPr>
        <w:t>зоват</w:t>
      </w:r>
      <w:r w:rsidR="007523AB" w:rsidRPr="001D11CD">
        <w:rPr>
          <w:lang w:val="bg-BG"/>
        </w:rPr>
        <w:t xml:space="preserve"> местните и регионалните власти да осигурят наличието на изборни материали на един или повече регионални или малцинствени езици, както и да позволят на кандидатите от малцинствени групи да използват майчиния си език в предизборната кампания, за да гарантират на членовете на малцинствените групи равен достъп до местните и регионални избори“.</w:t>
      </w:r>
    </w:p>
    <w:bookmarkStart w:id="12" w:name="Para31"/>
    <w:p w14:paraId="28B9137C" w14:textId="06BFB3DD"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32</w:t>
      </w:r>
      <w:r w:rsidRPr="001D11CD">
        <w:rPr>
          <w:lang w:val="bg-BG"/>
        </w:rPr>
        <w:fldChar w:fldCharType="end"/>
      </w:r>
      <w:bookmarkEnd w:id="12"/>
      <w:r w:rsidRPr="001D11CD">
        <w:rPr>
          <w:lang w:val="bg-BG"/>
        </w:rPr>
        <w:t>.  </w:t>
      </w:r>
      <w:r w:rsidR="007523AB" w:rsidRPr="001D11CD">
        <w:rPr>
          <w:lang w:val="bg-BG"/>
        </w:rPr>
        <w:t>В своя отговор, приет на 16 септември 2010</w:t>
      </w:r>
      <w:r w:rsidR="00C949F0" w:rsidRPr="001D11CD">
        <w:rPr>
          <w:lang w:val="bg-BG"/>
        </w:rPr>
        <w:t> г.</w:t>
      </w:r>
      <w:r w:rsidR="007523AB" w:rsidRPr="001D11CD">
        <w:rPr>
          <w:lang w:val="bg-BG"/>
        </w:rPr>
        <w:t>, Комитетът на министрите заявява следното:</w:t>
      </w:r>
    </w:p>
    <w:p w14:paraId="54B2CFE3" w14:textId="56B9486E" w:rsidR="00841D57" w:rsidRPr="001D11CD" w:rsidRDefault="00841D57" w:rsidP="000B760F">
      <w:pPr>
        <w:pStyle w:val="JuQuot"/>
        <w:rPr>
          <w:lang w:val="bg-BG"/>
        </w:rPr>
      </w:pPr>
      <w:r w:rsidRPr="001D11CD">
        <w:rPr>
          <w:lang w:val="bg-BG"/>
        </w:rPr>
        <w:t>„</w:t>
      </w:r>
      <w:r w:rsidR="000B760F" w:rsidRPr="001D11CD">
        <w:rPr>
          <w:lang w:val="bg-BG"/>
        </w:rPr>
        <w:t>1.  </w:t>
      </w:r>
      <w:r w:rsidRPr="001D11CD">
        <w:rPr>
          <w:lang w:val="bg-BG"/>
        </w:rPr>
        <w:t xml:space="preserve">Комитетът на министрите разгледа внимателно Препоръка 273 (2009) на Конгреса на местните и регионални власти на Съвета на Европа за „Равен достъп до местни и регионални избори“. Той представи препоръката на вниманието на </w:t>
      </w:r>
      <w:r w:rsidR="005D5F0E" w:rsidRPr="001D11CD">
        <w:rPr>
          <w:lang w:val="bg-BG"/>
        </w:rPr>
        <w:t>правителств</w:t>
      </w:r>
      <w:r w:rsidR="005D5F0E">
        <w:rPr>
          <w:lang w:val="bg-BG"/>
        </w:rPr>
        <w:t>ата</w:t>
      </w:r>
      <w:r w:rsidR="005D5F0E" w:rsidRPr="001D11CD">
        <w:rPr>
          <w:lang w:val="bg-BG"/>
        </w:rPr>
        <w:t xml:space="preserve"> </w:t>
      </w:r>
      <w:r w:rsidRPr="001D11CD">
        <w:rPr>
          <w:lang w:val="bg-BG"/>
        </w:rPr>
        <w:t>на държавите</w:t>
      </w:r>
      <w:r w:rsidR="00C949F0" w:rsidRPr="001D11CD">
        <w:rPr>
          <w:lang w:val="bg-BG"/>
        </w:rPr>
        <w:t xml:space="preserve"> </w:t>
      </w:r>
      <w:r w:rsidRPr="001D11CD">
        <w:rPr>
          <w:lang w:val="bg-BG"/>
        </w:rPr>
        <w:t>членки. Тя бе изпратена и на Европейския комитет за местна и регионална демокрация (КМРД) и на Европейската комисия за демокрация чрез право (Венецианска комисия).</w:t>
      </w:r>
    </w:p>
    <w:p w14:paraId="7D11A566" w14:textId="3C0D9D6B" w:rsidR="00F411AA" w:rsidRPr="001D11CD" w:rsidRDefault="000B760F" w:rsidP="000B760F">
      <w:pPr>
        <w:pStyle w:val="JuQuot"/>
        <w:rPr>
          <w:lang w:val="bg-BG"/>
        </w:rPr>
      </w:pPr>
      <w:r w:rsidRPr="001D11CD">
        <w:rPr>
          <w:lang w:val="bg-BG"/>
        </w:rPr>
        <w:t>2.  </w:t>
      </w:r>
      <w:r w:rsidR="00F411AA" w:rsidRPr="001D11CD">
        <w:rPr>
          <w:lang w:val="bg-BG"/>
        </w:rPr>
        <w:t>Комитетът на министрите подкрепя усилията на Конгреса за насърчаване на равния достъп до избори и приканва държавите-членки да разгледат направени</w:t>
      </w:r>
      <w:r w:rsidR="00C77601" w:rsidRPr="001D11CD">
        <w:rPr>
          <w:lang w:val="bg-BG"/>
        </w:rPr>
        <w:t>те</w:t>
      </w:r>
      <w:r w:rsidR="00F411AA" w:rsidRPr="001D11CD">
        <w:rPr>
          <w:lang w:val="bg-BG"/>
        </w:rPr>
        <w:t xml:space="preserve"> в този документ препоръки. Комитетът на министрите </w:t>
      </w:r>
      <w:r w:rsidR="00C77601" w:rsidRPr="001D11CD">
        <w:rPr>
          <w:lang w:val="bg-BG"/>
        </w:rPr>
        <w:t xml:space="preserve">би искал </w:t>
      </w:r>
      <w:r w:rsidR="00F411AA" w:rsidRPr="001D11CD">
        <w:rPr>
          <w:lang w:val="bg-BG"/>
        </w:rPr>
        <w:t xml:space="preserve">също така да </w:t>
      </w:r>
      <w:r w:rsidR="00C77601" w:rsidRPr="001D11CD">
        <w:rPr>
          <w:lang w:val="bg-BG"/>
        </w:rPr>
        <w:t xml:space="preserve">обърне </w:t>
      </w:r>
      <w:r w:rsidR="00F411AA" w:rsidRPr="001D11CD">
        <w:rPr>
          <w:lang w:val="bg-BG"/>
        </w:rPr>
        <w:t xml:space="preserve">внимание </w:t>
      </w:r>
      <w:r w:rsidR="00C77601" w:rsidRPr="001D11CD">
        <w:rPr>
          <w:lang w:val="bg-BG"/>
        </w:rPr>
        <w:t>на</w:t>
      </w:r>
      <w:r w:rsidR="00F411AA" w:rsidRPr="001D11CD">
        <w:rPr>
          <w:lang w:val="bg-BG"/>
        </w:rPr>
        <w:t xml:space="preserve"> </w:t>
      </w:r>
      <w:r w:rsidR="00C77601" w:rsidRPr="001D11CD">
        <w:rPr>
          <w:lang w:val="bg-BG"/>
        </w:rPr>
        <w:t xml:space="preserve">тук </w:t>
      </w:r>
      <w:r w:rsidR="00F411AA" w:rsidRPr="001D11CD">
        <w:rPr>
          <w:lang w:val="bg-BG"/>
        </w:rPr>
        <w:t>приложен</w:t>
      </w:r>
      <w:r w:rsidR="00C77601" w:rsidRPr="001D11CD">
        <w:rPr>
          <w:lang w:val="bg-BG"/>
        </w:rPr>
        <w:t>ите</w:t>
      </w:r>
      <w:r w:rsidR="00F411AA" w:rsidRPr="001D11CD">
        <w:rPr>
          <w:lang w:val="bg-BG"/>
        </w:rPr>
        <w:t xml:space="preserve"> </w:t>
      </w:r>
      <w:r w:rsidR="00C77601" w:rsidRPr="001D11CD">
        <w:rPr>
          <w:lang w:val="bg-BG"/>
        </w:rPr>
        <w:t>становища</w:t>
      </w:r>
      <w:r w:rsidR="00F411AA" w:rsidRPr="001D11CD">
        <w:rPr>
          <w:lang w:val="bg-BG"/>
        </w:rPr>
        <w:t xml:space="preserve"> на Венецианската комисия и цитираните </w:t>
      </w:r>
      <w:r w:rsidR="00AC7499" w:rsidRPr="001D11CD">
        <w:rPr>
          <w:lang w:val="bg-BG"/>
        </w:rPr>
        <w:t>в тях</w:t>
      </w:r>
      <w:r w:rsidR="00F411AA" w:rsidRPr="001D11CD">
        <w:rPr>
          <w:lang w:val="bg-BG"/>
        </w:rPr>
        <w:t xml:space="preserve"> документи, по-специално </w:t>
      </w:r>
      <w:r w:rsidR="00C77601" w:rsidRPr="001D11CD">
        <w:rPr>
          <w:lang w:val="bg-BG"/>
        </w:rPr>
        <w:t xml:space="preserve">на </w:t>
      </w:r>
      <w:r w:rsidR="00F411AA" w:rsidRPr="001D11CD">
        <w:rPr>
          <w:lang w:val="bg-BG"/>
        </w:rPr>
        <w:t xml:space="preserve">Кодекса за добри </w:t>
      </w:r>
      <w:r w:rsidR="000A12CD" w:rsidRPr="001D11CD">
        <w:rPr>
          <w:lang w:val="bg-BG"/>
        </w:rPr>
        <w:t xml:space="preserve">изборни </w:t>
      </w:r>
      <w:r w:rsidR="00F411AA" w:rsidRPr="001D11CD">
        <w:rPr>
          <w:lang w:val="bg-BG"/>
        </w:rPr>
        <w:t>практики, ко</w:t>
      </w:r>
      <w:r w:rsidR="000A12CD" w:rsidRPr="001D11CD">
        <w:rPr>
          <w:lang w:val="bg-BG"/>
        </w:rPr>
        <w:t>и</w:t>
      </w:r>
      <w:r w:rsidR="00F411AA" w:rsidRPr="001D11CD">
        <w:rPr>
          <w:lang w:val="bg-BG"/>
        </w:rPr>
        <w:t xml:space="preserve">то </w:t>
      </w:r>
      <w:r w:rsidR="000A12CD" w:rsidRPr="001D11CD">
        <w:rPr>
          <w:lang w:val="bg-BG"/>
        </w:rPr>
        <w:t>дефинират</w:t>
      </w:r>
      <w:r w:rsidR="00F411AA" w:rsidRPr="001D11CD">
        <w:rPr>
          <w:lang w:val="bg-BG"/>
        </w:rPr>
        <w:t xml:space="preserve"> важни стандарти и условия </w:t>
      </w:r>
      <w:r w:rsidR="000A12CD" w:rsidRPr="001D11CD">
        <w:rPr>
          <w:lang w:val="bg-BG"/>
        </w:rPr>
        <w:t>във връзка с</w:t>
      </w:r>
      <w:r w:rsidR="00F411AA" w:rsidRPr="001D11CD">
        <w:rPr>
          <w:lang w:val="bg-BG"/>
        </w:rPr>
        <w:t xml:space="preserve"> организирането на избори – </w:t>
      </w:r>
      <w:r w:rsidR="000A12CD" w:rsidRPr="001D11CD">
        <w:rPr>
          <w:lang w:val="bg-BG"/>
        </w:rPr>
        <w:t>по-специално</w:t>
      </w:r>
      <w:r w:rsidR="00F411AA" w:rsidRPr="001D11CD">
        <w:rPr>
          <w:lang w:val="bg-BG"/>
        </w:rPr>
        <w:t xml:space="preserve"> достъп до медии и финансови ресурси по време на </w:t>
      </w:r>
      <w:r w:rsidR="000A12CD" w:rsidRPr="001D11CD">
        <w:rPr>
          <w:lang w:val="bg-BG"/>
        </w:rPr>
        <w:t xml:space="preserve">предизборните </w:t>
      </w:r>
      <w:r w:rsidR="00F411AA" w:rsidRPr="001D11CD">
        <w:rPr>
          <w:lang w:val="bg-BG"/>
        </w:rPr>
        <w:t>кампании, както и регистрация на политически</w:t>
      </w:r>
      <w:r w:rsidR="000A12CD" w:rsidRPr="001D11CD">
        <w:rPr>
          <w:lang w:val="bg-BG"/>
        </w:rPr>
        <w:t>те</w:t>
      </w:r>
      <w:r w:rsidR="00F411AA" w:rsidRPr="001D11CD">
        <w:rPr>
          <w:lang w:val="bg-BG"/>
        </w:rPr>
        <w:t xml:space="preserve"> партии – и които трябва да се имат предвид в този контекст.</w:t>
      </w:r>
      <w:r w:rsidR="00006DD4" w:rsidRPr="001D11CD">
        <w:rPr>
          <w:lang w:val="bg-BG"/>
        </w:rPr>
        <w:t>“</w:t>
      </w:r>
    </w:p>
    <w:p w14:paraId="656E132F" w14:textId="338062DC" w:rsidR="000B760F" w:rsidRPr="001D11CD" w:rsidRDefault="007F3340" w:rsidP="007F3340">
      <w:pPr>
        <w:pStyle w:val="JuHIRoman"/>
        <w:rPr>
          <w:lang w:val="bg-BG"/>
        </w:rPr>
      </w:pPr>
      <w:r w:rsidRPr="001D11CD">
        <w:rPr>
          <w:lang w:val="bg-BG"/>
        </w:rPr>
        <w:t>ПРИЛОЖИМО СРАВНИТЕЛНО ПРАВО</w:t>
      </w:r>
    </w:p>
    <w:bookmarkStart w:id="13" w:name="Para32"/>
    <w:p w14:paraId="125D46AB" w14:textId="75AD2319" w:rsidR="00556B82"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33</w:t>
      </w:r>
      <w:r w:rsidRPr="001D11CD">
        <w:rPr>
          <w:lang w:val="bg-BG"/>
        </w:rPr>
        <w:fldChar w:fldCharType="end"/>
      </w:r>
      <w:bookmarkEnd w:id="13"/>
      <w:r w:rsidRPr="001D11CD">
        <w:rPr>
          <w:lang w:val="bg-BG"/>
        </w:rPr>
        <w:t>.  </w:t>
      </w:r>
      <w:r w:rsidR="00556B82" w:rsidRPr="001D11CD">
        <w:rPr>
          <w:lang w:val="bg-BG"/>
        </w:rPr>
        <w:t>Според информацията, събрана от Съда през 2022</w:t>
      </w:r>
      <w:r w:rsidR="00C949F0" w:rsidRPr="001D11CD">
        <w:rPr>
          <w:lang w:val="bg-BG"/>
        </w:rPr>
        <w:t> </w:t>
      </w:r>
      <w:r w:rsidR="00556B82" w:rsidRPr="001D11CD">
        <w:rPr>
          <w:lang w:val="bg-BG"/>
        </w:rPr>
        <w:t>година за тридесет и седем договарящи държави (Австрия, Азербайджан, Албания, Белгия, Босна и Херцеговина, Германия, Гърция, Естония, Исландия, Испания, Италия, Кипър, Латвия, Литва, Лихтенщайн, Люксембург, Малта, Република Молдова, Северна Македония, Нидерландия, Норвегия, Полша, Португалия, Румъния, Сан Марино, Словашка република, Словения, Сърбия</w:t>
      </w:r>
      <w:r w:rsidR="00AA6924" w:rsidRPr="001D11CD">
        <w:rPr>
          <w:lang w:val="bg-BG"/>
        </w:rPr>
        <w:t>, Турция</w:t>
      </w:r>
      <w:r w:rsidR="00556B82" w:rsidRPr="001D11CD">
        <w:rPr>
          <w:lang w:val="bg-BG"/>
        </w:rPr>
        <w:t xml:space="preserve">, </w:t>
      </w:r>
      <w:r w:rsidR="00AA6924" w:rsidRPr="001D11CD">
        <w:rPr>
          <w:lang w:val="bg-BG"/>
        </w:rPr>
        <w:t xml:space="preserve">Украйна, </w:t>
      </w:r>
      <w:r w:rsidR="00556B82" w:rsidRPr="001D11CD">
        <w:rPr>
          <w:lang w:val="bg-BG"/>
        </w:rPr>
        <w:t>Унгария, Финландия, Франция, Хърватия,</w:t>
      </w:r>
      <w:r w:rsidR="004A0623" w:rsidRPr="001D11CD">
        <w:rPr>
          <w:lang w:val="bg-BG"/>
        </w:rPr>
        <w:t xml:space="preserve"> </w:t>
      </w:r>
      <w:r w:rsidR="00AA6924" w:rsidRPr="001D11CD">
        <w:rPr>
          <w:lang w:val="bg-BG"/>
        </w:rPr>
        <w:t xml:space="preserve">Чехия, </w:t>
      </w:r>
      <w:r w:rsidR="00556B82" w:rsidRPr="001D11CD">
        <w:rPr>
          <w:lang w:val="bg-BG"/>
        </w:rPr>
        <w:t>Швеция</w:t>
      </w:r>
      <w:r w:rsidR="00AA6924" w:rsidRPr="001D11CD">
        <w:rPr>
          <w:lang w:val="bg-BG"/>
        </w:rPr>
        <w:t xml:space="preserve"> и</w:t>
      </w:r>
      <w:r w:rsidR="00556B82" w:rsidRPr="001D11CD">
        <w:rPr>
          <w:lang w:val="bg-BG"/>
        </w:rPr>
        <w:t xml:space="preserve"> Швейцария), </w:t>
      </w:r>
      <w:r w:rsidR="00AA6924" w:rsidRPr="001D11CD">
        <w:rPr>
          <w:lang w:val="bg-BG"/>
        </w:rPr>
        <w:t xml:space="preserve">е видно, </w:t>
      </w:r>
      <w:r w:rsidR="00556B82" w:rsidRPr="001D11CD">
        <w:rPr>
          <w:lang w:val="bg-BG"/>
        </w:rPr>
        <w:t>че</w:t>
      </w:r>
      <w:r w:rsidR="005D5F0E">
        <w:rPr>
          <w:lang w:val="bg-BG"/>
        </w:rPr>
        <w:t>,</w:t>
      </w:r>
      <w:r w:rsidR="00556B82" w:rsidRPr="001D11CD">
        <w:rPr>
          <w:lang w:val="bg-BG"/>
        </w:rPr>
        <w:t xml:space="preserve"> </w:t>
      </w:r>
      <w:r w:rsidR="00AA6924" w:rsidRPr="001D11CD">
        <w:rPr>
          <w:lang w:val="bg-BG"/>
        </w:rPr>
        <w:t xml:space="preserve">с </w:t>
      </w:r>
      <w:r w:rsidR="00556B82" w:rsidRPr="001D11CD">
        <w:rPr>
          <w:lang w:val="bg-BG"/>
        </w:rPr>
        <w:t>единствено</w:t>
      </w:r>
      <w:r w:rsidR="00AA6924" w:rsidRPr="001D11CD">
        <w:rPr>
          <w:lang w:val="bg-BG"/>
        </w:rPr>
        <w:t xml:space="preserve"> изключение</w:t>
      </w:r>
      <w:r w:rsidR="00556B82" w:rsidRPr="001D11CD">
        <w:rPr>
          <w:lang w:val="bg-BG"/>
        </w:rPr>
        <w:t xml:space="preserve"> Украйна, ни</w:t>
      </w:r>
      <w:r w:rsidR="00AA6924" w:rsidRPr="001D11CD">
        <w:rPr>
          <w:lang w:val="bg-BG"/>
        </w:rPr>
        <w:t xml:space="preserve">то една </w:t>
      </w:r>
      <w:r w:rsidR="00556B82" w:rsidRPr="001D11CD">
        <w:rPr>
          <w:lang w:val="bg-BG"/>
        </w:rPr>
        <w:t xml:space="preserve">не предвижда в законодателството си </w:t>
      </w:r>
      <w:r w:rsidR="00AA6924" w:rsidRPr="001D11CD">
        <w:rPr>
          <w:lang w:val="bg-BG"/>
        </w:rPr>
        <w:t>пред</w:t>
      </w:r>
      <w:r w:rsidR="00556B82" w:rsidRPr="001D11CD">
        <w:rPr>
          <w:lang w:val="bg-BG"/>
        </w:rPr>
        <w:t>изб</w:t>
      </w:r>
      <w:r w:rsidR="00AA6924" w:rsidRPr="001D11CD">
        <w:rPr>
          <w:lang w:val="bg-BG"/>
        </w:rPr>
        <w:t xml:space="preserve">орната </w:t>
      </w:r>
      <w:r w:rsidR="00556B82" w:rsidRPr="001D11CD">
        <w:rPr>
          <w:lang w:val="bg-BG"/>
        </w:rPr>
        <w:t xml:space="preserve">кампания да се </w:t>
      </w:r>
      <w:r w:rsidR="00AA6924" w:rsidRPr="001D11CD">
        <w:rPr>
          <w:lang w:val="bg-BG"/>
        </w:rPr>
        <w:t xml:space="preserve">води </w:t>
      </w:r>
      <w:r w:rsidR="00556B82" w:rsidRPr="001D11CD">
        <w:rPr>
          <w:lang w:val="bg-BG"/>
        </w:rPr>
        <w:t>само на официалния език или езици, как</w:t>
      </w:r>
      <w:r w:rsidR="00AA6924" w:rsidRPr="001D11CD">
        <w:rPr>
          <w:lang w:val="bg-BG"/>
        </w:rPr>
        <w:t>ъв</w:t>
      </w:r>
      <w:r w:rsidR="00556B82" w:rsidRPr="001D11CD">
        <w:rPr>
          <w:lang w:val="bg-BG"/>
        </w:rPr>
        <w:t>то е случая</w:t>
      </w:r>
      <w:r w:rsidR="00AA6924" w:rsidRPr="001D11CD">
        <w:rPr>
          <w:lang w:val="bg-BG"/>
        </w:rPr>
        <w:t>т</w:t>
      </w:r>
      <w:r w:rsidR="00556B82" w:rsidRPr="001D11CD">
        <w:rPr>
          <w:lang w:val="bg-BG"/>
        </w:rPr>
        <w:t xml:space="preserve"> в България. </w:t>
      </w:r>
      <w:r w:rsidR="004A0623" w:rsidRPr="001D11CD">
        <w:rPr>
          <w:lang w:val="bg-BG"/>
        </w:rPr>
        <w:t>По този начин т</w:t>
      </w:r>
      <w:r w:rsidR="00556B82" w:rsidRPr="001D11CD">
        <w:rPr>
          <w:lang w:val="bg-BG"/>
        </w:rPr>
        <w:t>ези държави позволяват използване на малцинствени или други езици от кандидати</w:t>
      </w:r>
      <w:r w:rsidR="00AA6924" w:rsidRPr="001D11CD">
        <w:rPr>
          <w:lang w:val="bg-BG"/>
        </w:rPr>
        <w:t>те</w:t>
      </w:r>
      <w:r w:rsidR="00556B82" w:rsidRPr="001D11CD">
        <w:rPr>
          <w:lang w:val="bg-BG"/>
        </w:rPr>
        <w:t xml:space="preserve"> по време на публични </w:t>
      </w:r>
      <w:r w:rsidR="00AA6924" w:rsidRPr="001D11CD">
        <w:rPr>
          <w:lang w:val="bg-BG"/>
        </w:rPr>
        <w:t>събития от предизборната</w:t>
      </w:r>
      <w:r w:rsidR="00556B82" w:rsidRPr="001D11CD">
        <w:rPr>
          <w:lang w:val="bg-BG"/>
        </w:rPr>
        <w:t xml:space="preserve"> </w:t>
      </w:r>
      <w:r w:rsidR="00AA6924" w:rsidRPr="001D11CD">
        <w:rPr>
          <w:lang w:val="bg-BG"/>
        </w:rPr>
        <w:t>кампания</w:t>
      </w:r>
      <w:r w:rsidR="00556B82" w:rsidRPr="001D11CD">
        <w:rPr>
          <w:lang w:val="bg-BG"/>
        </w:rPr>
        <w:t xml:space="preserve">, без никаква </w:t>
      </w:r>
      <w:r w:rsidR="004A0623" w:rsidRPr="001D11CD">
        <w:rPr>
          <w:lang w:val="bg-BG"/>
        </w:rPr>
        <w:t>санкция</w:t>
      </w:r>
      <w:r w:rsidR="00556B82" w:rsidRPr="001D11CD">
        <w:rPr>
          <w:lang w:val="bg-BG"/>
        </w:rPr>
        <w:t>.</w:t>
      </w:r>
    </w:p>
    <w:p w14:paraId="7C702240" w14:textId="24E72B28" w:rsidR="000B760F" w:rsidRPr="001D11CD" w:rsidRDefault="00AA6924" w:rsidP="000B760F">
      <w:pPr>
        <w:pStyle w:val="JuHHead"/>
        <w:rPr>
          <w:lang w:val="bg-BG"/>
        </w:rPr>
      </w:pPr>
      <w:r w:rsidRPr="001D11CD">
        <w:rPr>
          <w:lang w:val="bg-BG"/>
        </w:rPr>
        <w:t>ПРАВОТО</w:t>
      </w:r>
    </w:p>
    <w:p w14:paraId="74DEED07" w14:textId="6CCB077F" w:rsidR="000B760F" w:rsidRPr="001D11CD" w:rsidRDefault="00D177F2" w:rsidP="000B760F">
      <w:pPr>
        <w:pStyle w:val="JuHIRoman"/>
        <w:rPr>
          <w:lang w:val="bg-BG"/>
        </w:rPr>
      </w:pPr>
      <w:r w:rsidRPr="001D11CD">
        <w:rPr>
          <w:lang w:val="bg-BG"/>
        </w:rPr>
        <w:t>ОТНОСНО ТВЪРДЯНОТО НАРУШЕНИЕ НА</w:t>
      </w:r>
      <w:r w:rsidR="000B760F" w:rsidRPr="001D11CD">
        <w:rPr>
          <w:lang w:val="bg-BG"/>
        </w:rPr>
        <w:t xml:space="preserve"> </w:t>
      </w:r>
      <w:r w:rsidR="001A14B1" w:rsidRPr="001D11CD">
        <w:rPr>
          <w:lang w:val="bg-BG"/>
        </w:rPr>
        <w:t>ЧЛЕН</w:t>
      </w:r>
      <w:r w:rsidR="00C949F0" w:rsidRPr="001D11CD">
        <w:rPr>
          <w:lang w:val="bg-BG"/>
        </w:rPr>
        <w:t> </w:t>
      </w:r>
      <w:r w:rsidR="000B760F" w:rsidRPr="001D11CD">
        <w:rPr>
          <w:lang w:val="bg-BG"/>
        </w:rPr>
        <w:t>10</w:t>
      </w:r>
      <w:r w:rsidR="004A0623" w:rsidRPr="001D11CD">
        <w:rPr>
          <w:lang w:val="bg-BG"/>
        </w:rPr>
        <w:t xml:space="preserve"> </w:t>
      </w:r>
      <w:r w:rsidR="00AA6924" w:rsidRPr="001D11CD">
        <w:rPr>
          <w:lang w:val="bg-BG"/>
        </w:rPr>
        <w:t xml:space="preserve">от </w:t>
      </w:r>
      <w:r w:rsidR="00156A3C" w:rsidRPr="001D11CD">
        <w:rPr>
          <w:lang w:val="bg-BG"/>
        </w:rPr>
        <w:t>КОНВЕНЦИЯТА</w:t>
      </w:r>
    </w:p>
    <w:p w14:paraId="27382872" w14:textId="3EAE6BDE"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34</w:t>
      </w:r>
      <w:r w:rsidRPr="001D11CD">
        <w:rPr>
          <w:lang w:val="bg-BG"/>
        </w:rPr>
        <w:fldChar w:fldCharType="end"/>
      </w:r>
      <w:r w:rsidR="000B760F" w:rsidRPr="001D11CD">
        <w:rPr>
          <w:lang w:val="bg-BG"/>
        </w:rPr>
        <w:t>.  </w:t>
      </w:r>
      <w:r w:rsidR="000C7FEC" w:rsidRPr="001D11CD">
        <w:rPr>
          <w:lang w:val="bg-BG"/>
        </w:rPr>
        <w:t>Жалбоподателят</w:t>
      </w:r>
      <w:r w:rsidR="000B760F" w:rsidRPr="001D11CD">
        <w:rPr>
          <w:lang w:val="bg-BG"/>
        </w:rPr>
        <w:t xml:space="preserve"> </w:t>
      </w:r>
      <w:r w:rsidR="005E4127" w:rsidRPr="001D11CD">
        <w:rPr>
          <w:lang w:val="bg-BG"/>
        </w:rPr>
        <w:t>се оплаква, че му е била наложен</w:t>
      </w:r>
      <w:r w:rsidR="004A0623" w:rsidRPr="001D11CD">
        <w:rPr>
          <w:lang w:val="bg-BG"/>
        </w:rPr>
        <w:t>о</w:t>
      </w:r>
      <w:r w:rsidR="005E4127" w:rsidRPr="001D11CD">
        <w:rPr>
          <w:lang w:val="bg-BG"/>
        </w:rPr>
        <w:t xml:space="preserve"> </w:t>
      </w:r>
      <w:r w:rsidR="00FC639A" w:rsidRPr="001D11CD">
        <w:rPr>
          <w:lang w:val="bg-BG"/>
        </w:rPr>
        <w:t>административно наказание</w:t>
      </w:r>
      <w:r w:rsidR="005E4127" w:rsidRPr="001D11CD">
        <w:rPr>
          <w:lang w:val="bg-BG"/>
        </w:rPr>
        <w:t xml:space="preserve"> само заради това, че </w:t>
      </w:r>
      <w:r w:rsidR="004A0623" w:rsidRPr="001D11CD">
        <w:rPr>
          <w:lang w:val="bg-BG"/>
        </w:rPr>
        <w:t xml:space="preserve">се </w:t>
      </w:r>
      <w:r w:rsidR="005E4127" w:rsidRPr="001D11CD">
        <w:rPr>
          <w:lang w:val="bg-BG"/>
        </w:rPr>
        <w:t>е изразявал на турски език по време на предизборна кампания. Той се позовава на член</w:t>
      </w:r>
      <w:r w:rsidR="00C949F0" w:rsidRPr="001D11CD">
        <w:rPr>
          <w:lang w:val="bg-BG"/>
        </w:rPr>
        <w:t> </w:t>
      </w:r>
      <w:r w:rsidR="005E4127" w:rsidRPr="001D11CD">
        <w:rPr>
          <w:lang w:val="bg-BG"/>
        </w:rPr>
        <w:t>10 от Конвенцията, който гласи следното:</w:t>
      </w:r>
      <w:r w:rsidR="000B760F" w:rsidRPr="001D11CD">
        <w:rPr>
          <w:lang w:val="bg-BG"/>
        </w:rPr>
        <w:t xml:space="preserve"> </w:t>
      </w:r>
    </w:p>
    <w:p w14:paraId="30745D7B" w14:textId="65B5E3AF" w:rsidR="000B760F" w:rsidRPr="001D11CD" w:rsidRDefault="005E4127" w:rsidP="000B760F">
      <w:pPr>
        <w:pStyle w:val="JuQuot"/>
        <w:rPr>
          <w:lang w:val="bg-BG"/>
        </w:rPr>
      </w:pPr>
      <w:r w:rsidRPr="001D11CD">
        <w:rPr>
          <w:lang w:val="bg-BG"/>
        </w:rPr>
        <w:t>„</w:t>
      </w:r>
      <w:r w:rsidR="000B760F" w:rsidRPr="001D11CD">
        <w:rPr>
          <w:lang w:val="bg-BG"/>
        </w:rPr>
        <w:t>1.  </w:t>
      </w:r>
      <w:proofErr w:type="spellStart"/>
      <w:r w:rsidRPr="001D11CD">
        <w:rPr>
          <w:lang w:val="bg-BG"/>
        </w:rPr>
        <w:t>Βсеки</w:t>
      </w:r>
      <w:proofErr w:type="spellEnd"/>
      <w:r w:rsidRPr="001D11CD">
        <w:rPr>
          <w:lang w:val="bg-BG"/>
        </w:rPr>
        <w:t xml:space="preserve">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и независимо от държавните граници</w:t>
      </w:r>
      <w:r w:rsidR="00B95E97" w:rsidRPr="001D11CD">
        <w:rPr>
          <w:lang w:val="bg-BG"/>
        </w:rPr>
        <w:t xml:space="preserve"> (...)</w:t>
      </w:r>
      <w:r w:rsidRPr="001D11CD">
        <w:rPr>
          <w:lang w:val="bg-BG"/>
        </w:rPr>
        <w:t xml:space="preserve"> </w:t>
      </w:r>
    </w:p>
    <w:p w14:paraId="7B32F6C5" w14:textId="15A16047" w:rsidR="000B760F" w:rsidRPr="001D11CD" w:rsidRDefault="000B760F" w:rsidP="000B760F">
      <w:pPr>
        <w:pStyle w:val="JuQuot"/>
        <w:rPr>
          <w:lang w:val="bg-BG"/>
        </w:rPr>
      </w:pPr>
      <w:r w:rsidRPr="001D11CD">
        <w:rPr>
          <w:lang w:val="bg-BG"/>
        </w:rPr>
        <w:t>2.  </w:t>
      </w:r>
      <w:r w:rsidR="005E4127" w:rsidRPr="001D11CD">
        <w:rPr>
          <w:lang w:val="bg-BG"/>
        </w:rPr>
        <w:t xml:space="preserve">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w:t>
      </w:r>
      <w:r w:rsidR="003A7878" w:rsidRPr="001D11CD">
        <w:rPr>
          <w:lang w:val="bg-BG"/>
        </w:rPr>
        <w:t xml:space="preserve">(...) и </w:t>
      </w:r>
      <w:r w:rsidR="005E4127" w:rsidRPr="001D11CD">
        <w:rPr>
          <w:lang w:val="bg-BG"/>
        </w:rPr>
        <w:t>защитата на правата на другите</w:t>
      </w:r>
      <w:r w:rsidRPr="001D11CD">
        <w:rPr>
          <w:lang w:val="bg-BG"/>
        </w:rPr>
        <w:t xml:space="preserve"> (...).</w:t>
      </w:r>
      <w:r w:rsidR="003A7878" w:rsidRPr="001D11CD">
        <w:rPr>
          <w:lang w:val="bg-BG"/>
        </w:rPr>
        <w:t>“</w:t>
      </w:r>
    </w:p>
    <w:p w14:paraId="6D31E185" w14:textId="7AEB7822" w:rsidR="000B760F" w:rsidRPr="001D11CD" w:rsidRDefault="003A7878" w:rsidP="000B760F">
      <w:pPr>
        <w:pStyle w:val="JuHA"/>
        <w:rPr>
          <w:lang w:val="bg-BG"/>
        </w:rPr>
      </w:pPr>
      <w:r w:rsidRPr="001D11CD">
        <w:rPr>
          <w:lang w:val="bg-BG"/>
        </w:rPr>
        <w:t>Допустимост</w:t>
      </w:r>
    </w:p>
    <w:p w14:paraId="6398F03A" w14:textId="5E157EB5" w:rsidR="003A7878"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35</w:t>
      </w:r>
      <w:r w:rsidRPr="001D11CD">
        <w:rPr>
          <w:lang w:val="bg-BG"/>
        </w:rPr>
        <w:fldChar w:fldCharType="end"/>
      </w:r>
      <w:r w:rsidR="000B760F" w:rsidRPr="001D11CD">
        <w:rPr>
          <w:lang w:val="bg-BG"/>
        </w:rPr>
        <w:t>.  </w:t>
      </w:r>
      <w:r w:rsidR="003A7878" w:rsidRPr="001D11CD">
        <w:rPr>
          <w:lang w:val="bg-BG"/>
        </w:rPr>
        <w:t>Правителството се позовава на неизчерпване на вътрешн</w:t>
      </w:r>
      <w:r w:rsidR="005D5F0E">
        <w:rPr>
          <w:lang w:val="bg-BG"/>
        </w:rPr>
        <w:t>оправн</w:t>
      </w:r>
      <w:r w:rsidR="003A7878" w:rsidRPr="001D11CD">
        <w:rPr>
          <w:lang w:val="bg-BG"/>
        </w:rPr>
        <w:t>ите средства за защита. Според него жалбоподателят като политически лидер и председател на парламентарната група на своята партия е можел заедно с депутатите от своята група и поне още дванадесет други депутати</w:t>
      </w:r>
      <w:r w:rsidR="0099329A" w:rsidRPr="001D11CD">
        <w:rPr>
          <w:lang w:val="bg-BG"/>
        </w:rPr>
        <w:t xml:space="preserve"> </w:t>
      </w:r>
      <w:r w:rsidR="003A7878" w:rsidRPr="001D11CD">
        <w:rPr>
          <w:lang w:val="bg-BG"/>
        </w:rPr>
        <w:t>да се</w:t>
      </w:r>
      <w:r w:rsidR="0099329A" w:rsidRPr="001D11CD">
        <w:rPr>
          <w:lang w:val="bg-BG"/>
        </w:rPr>
        <w:t>зира К</w:t>
      </w:r>
      <w:r w:rsidR="003A7878" w:rsidRPr="001D11CD">
        <w:rPr>
          <w:lang w:val="bg-BG"/>
        </w:rPr>
        <w:t xml:space="preserve">онституционния съд </w:t>
      </w:r>
      <w:r w:rsidR="0099329A" w:rsidRPr="001D11CD">
        <w:rPr>
          <w:lang w:val="bg-BG"/>
        </w:rPr>
        <w:t>с</w:t>
      </w:r>
      <w:r w:rsidR="003A7878" w:rsidRPr="001D11CD">
        <w:rPr>
          <w:lang w:val="bg-BG"/>
        </w:rPr>
        <w:t xml:space="preserve"> </w:t>
      </w:r>
      <w:r w:rsidR="00FE2672" w:rsidRPr="001D11CD">
        <w:rPr>
          <w:lang w:val="bg-BG"/>
        </w:rPr>
        <w:t>искане член</w:t>
      </w:r>
      <w:r w:rsidR="003A7878" w:rsidRPr="001D11CD">
        <w:rPr>
          <w:lang w:val="bg-BG"/>
        </w:rPr>
        <w:t xml:space="preserve"> 133, алинея 2 от Изборния кодекс </w:t>
      </w:r>
      <w:r w:rsidR="0099329A" w:rsidRPr="001D11CD">
        <w:rPr>
          <w:lang w:val="bg-BG"/>
        </w:rPr>
        <w:t>да се обяви за п</w:t>
      </w:r>
      <w:r w:rsidR="003A7878" w:rsidRPr="001D11CD">
        <w:rPr>
          <w:lang w:val="bg-BG"/>
        </w:rPr>
        <w:t>ротивореч</w:t>
      </w:r>
      <w:r w:rsidR="0099329A" w:rsidRPr="001D11CD">
        <w:rPr>
          <w:lang w:val="bg-BG"/>
        </w:rPr>
        <w:t>ащ на</w:t>
      </w:r>
      <w:r w:rsidR="003A7878" w:rsidRPr="001D11CD">
        <w:rPr>
          <w:lang w:val="bg-BG"/>
        </w:rPr>
        <w:t xml:space="preserve"> българската Конституция и/или </w:t>
      </w:r>
      <w:r w:rsidR="005D5F0E">
        <w:rPr>
          <w:lang w:val="bg-BG"/>
        </w:rPr>
        <w:t xml:space="preserve">на </w:t>
      </w:r>
      <w:r w:rsidR="003A7878" w:rsidRPr="001D11CD">
        <w:rPr>
          <w:lang w:val="bg-BG"/>
        </w:rPr>
        <w:t>международни</w:t>
      </w:r>
      <w:r w:rsidR="0099329A" w:rsidRPr="001D11CD">
        <w:rPr>
          <w:lang w:val="bg-BG"/>
        </w:rPr>
        <w:t>те</w:t>
      </w:r>
      <w:r w:rsidR="003A7878" w:rsidRPr="001D11CD">
        <w:rPr>
          <w:lang w:val="bg-BG"/>
        </w:rPr>
        <w:t xml:space="preserve"> стандарти.</w:t>
      </w:r>
    </w:p>
    <w:p w14:paraId="45276490" w14:textId="0E5179D8" w:rsidR="0099329A"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36</w:t>
      </w:r>
      <w:r w:rsidRPr="001D11CD">
        <w:rPr>
          <w:lang w:val="bg-BG"/>
        </w:rPr>
        <w:fldChar w:fldCharType="end"/>
      </w:r>
      <w:r w:rsidR="000B760F" w:rsidRPr="001D11CD">
        <w:rPr>
          <w:lang w:val="bg-BG"/>
        </w:rPr>
        <w:t>.  </w:t>
      </w:r>
      <w:r w:rsidR="000C7FEC" w:rsidRPr="001D11CD">
        <w:rPr>
          <w:lang w:val="bg-BG"/>
        </w:rPr>
        <w:t>Жалбоподателят</w:t>
      </w:r>
      <w:r w:rsidR="000B760F" w:rsidRPr="001D11CD">
        <w:rPr>
          <w:lang w:val="bg-BG"/>
        </w:rPr>
        <w:t xml:space="preserve"> </w:t>
      </w:r>
      <w:r w:rsidR="0099329A" w:rsidRPr="001D11CD">
        <w:rPr>
          <w:lang w:val="bg-BG"/>
        </w:rPr>
        <w:t xml:space="preserve">отговаря, че от него се </w:t>
      </w:r>
      <w:r w:rsidR="00B95E97" w:rsidRPr="001D11CD">
        <w:rPr>
          <w:lang w:val="bg-BG"/>
        </w:rPr>
        <w:t xml:space="preserve">е </w:t>
      </w:r>
      <w:r w:rsidR="0099329A" w:rsidRPr="001D11CD">
        <w:rPr>
          <w:lang w:val="bg-BG"/>
        </w:rPr>
        <w:t>изисквало да използва само способи</w:t>
      </w:r>
      <w:r w:rsidR="00553C1F">
        <w:rPr>
          <w:lang w:val="bg-BG"/>
        </w:rPr>
        <w:t>те</w:t>
      </w:r>
      <w:r w:rsidR="0099329A" w:rsidRPr="001D11CD">
        <w:rPr>
          <w:lang w:val="bg-BG"/>
        </w:rPr>
        <w:t xml:space="preserve"> за </w:t>
      </w:r>
      <w:r w:rsidR="00553C1F">
        <w:rPr>
          <w:lang w:val="bg-BG"/>
        </w:rPr>
        <w:t>защита</w:t>
      </w:r>
      <w:r w:rsidR="0099329A" w:rsidRPr="001D11CD">
        <w:rPr>
          <w:lang w:val="bg-BG"/>
        </w:rPr>
        <w:t xml:space="preserve">, които са му били пряко достъпни, и тъй като българската Конституция не предвижда възможност </w:t>
      </w:r>
      <w:r w:rsidR="000A62E1" w:rsidRPr="001D11CD">
        <w:rPr>
          <w:lang w:val="bg-BG"/>
        </w:rPr>
        <w:t>—</w:t>
      </w:r>
      <w:r w:rsidR="0099329A" w:rsidRPr="001D11CD">
        <w:rPr>
          <w:lang w:val="bg-BG"/>
        </w:rPr>
        <w:t xml:space="preserve"> нито за </w:t>
      </w:r>
      <w:r w:rsidR="00553C1F">
        <w:rPr>
          <w:lang w:val="bg-BG"/>
        </w:rPr>
        <w:t xml:space="preserve">отделен </w:t>
      </w:r>
      <w:r w:rsidR="0099329A" w:rsidRPr="001D11CD">
        <w:rPr>
          <w:lang w:val="bg-BG"/>
        </w:rPr>
        <w:t xml:space="preserve">депутат, нито за обикновен гражданин – за индивидуална конституционна жалба, предлаганото от Правителството </w:t>
      </w:r>
      <w:r w:rsidR="00B95E97" w:rsidRPr="001D11CD">
        <w:rPr>
          <w:lang w:val="bg-BG"/>
        </w:rPr>
        <w:t xml:space="preserve">средство </w:t>
      </w:r>
      <w:r w:rsidR="0099329A" w:rsidRPr="001D11CD">
        <w:rPr>
          <w:lang w:val="bg-BG"/>
        </w:rPr>
        <w:t xml:space="preserve">е чисто спекулативно. Той счита, че след като е </w:t>
      </w:r>
      <w:r w:rsidR="00743505" w:rsidRPr="001D11CD">
        <w:rPr>
          <w:lang w:val="bg-BG"/>
        </w:rPr>
        <w:t xml:space="preserve">повдигнал </w:t>
      </w:r>
      <w:r w:rsidR="0099329A" w:rsidRPr="001D11CD">
        <w:rPr>
          <w:lang w:val="bg-BG"/>
        </w:rPr>
        <w:t xml:space="preserve">оплакванията си </w:t>
      </w:r>
      <w:r w:rsidR="00743505" w:rsidRPr="001D11CD">
        <w:rPr>
          <w:lang w:val="bg-BG"/>
        </w:rPr>
        <w:t xml:space="preserve">пред </w:t>
      </w:r>
      <w:r w:rsidR="0099329A" w:rsidRPr="001D11CD">
        <w:rPr>
          <w:lang w:val="bg-BG"/>
        </w:rPr>
        <w:t xml:space="preserve">съдилищата, които са се произнесли по подадената от него жалба срещу решението на областния управител, </w:t>
      </w:r>
      <w:r w:rsidR="00743505" w:rsidRPr="001D11CD">
        <w:rPr>
          <w:lang w:val="bg-BG"/>
        </w:rPr>
        <w:t>е изпълнил</w:t>
      </w:r>
      <w:r w:rsidR="0099329A" w:rsidRPr="001D11CD">
        <w:rPr>
          <w:lang w:val="bg-BG"/>
        </w:rPr>
        <w:t xml:space="preserve"> условието за изчерпване на вътрешноправните средства за защита.</w:t>
      </w:r>
    </w:p>
    <w:p w14:paraId="74CF7A20" w14:textId="6D38272A"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37</w:t>
      </w:r>
      <w:r w:rsidRPr="001D11CD">
        <w:rPr>
          <w:lang w:val="bg-BG"/>
        </w:rPr>
        <w:fldChar w:fldCharType="end"/>
      </w:r>
      <w:r w:rsidR="000B760F" w:rsidRPr="001D11CD">
        <w:rPr>
          <w:lang w:val="bg-BG"/>
        </w:rPr>
        <w:t>.  </w:t>
      </w:r>
      <w:r w:rsidR="00743505" w:rsidRPr="001D11CD">
        <w:rPr>
          <w:lang w:val="bg-BG"/>
        </w:rPr>
        <w:t>Съдът припомня на първо място, че съгласно член 35</w:t>
      </w:r>
      <w:r w:rsidR="000A62E1" w:rsidRPr="001D11CD">
        <w:rPr>
          <w:lang w:val="bg-BG"/>
        </w:rPr>
        <w:t>,</w:t>
      </w:r>
      <w:r w:rsidR="00743505" w:rsidRPr="001D11CD">
        <w:rPr>
          <w:lang w:val="bg-BG"/>
        </w:rPr>
        <w:t xml:space="preserve"> §</w:t>
      </w:r>
      <w:r w:rsidR="000A62E1" w:rsidRPr="001D11CD">
        <w:rPr>
          <w:lang w:val="bg-BG"/>
        </w:rPr>
        <w:t> </w:t>
      </w:r>
      <w:r w:rsidR="00743505" w:rsidRPr="001D11CD">
        <w:rPr>
          <w:lang w:val="bg-BG"/>
        </w:rPr>
        <w:t xml:space="preserve">1 от Конвенцията, той може да бъде сезиран само след изчерпване от жалбоподателя на вътрешноправните средства за защита. Тази разпоредба, която по принцип има за цел да остави на договарящите държави възможността да избегнат или да поправят нарушенията, в които се обвиняват, се основава на предположението, че </w:t>
      </w:r>
      <w:proofErr w:type="spellStart"/>
      <w:r w:rsidR="00743505" w:rsidRPr="001D11CD">
        <w:rPr>
          <w:lang w:val="bg-BG"/>
        </w:rPr>
        <w:t>вътрешноправовия</w:t>
      </w:r>
      <w:r w:rsidR="00553C1F">
        <w:rPr>
          <w:lang w:val="bg-BG"/>
        </w:rPr>
        <w:t>т</w:t>
      </w:r>
      <w:proofErr w:type="spellEnd"/>
      <w:r w:rsidR="00743505" w:rsidRPr="001D11CD">
        <w:rPr>
          <w:lang w:val="bg-BG"/>
        </w:rPr>
        <w:t xml:space="preserve"> ред предлага ефективно средство за защита на жалбоподателя</w:t>
      </w:r>
      <w:r w:rsidR="00743505" w:rsidRPr="001D11CD">
        <w:rPr>
          <w:rFonts w:ascii="Times New Roman" w:hAnsi="Times New Roman" w:cs="Times New Roman"/>
          <w:lang w:val="bg-BG"/>
        </w:rPr>
        <w:t xml:space="preserve"> по отношение на твърдяното нарушение</w:t>
      </w:r>
      <w:r w:rsidR="00743505" w:rsidRPr="001D11CD">
        <w:rPr>
          <w:lang w:val="bg-BG"/>
        </w:rPr>
        <w:t xml:space="preserve">. Тя обаче предвижда единствено изчерпване на </w:t>
      </w:r>
      <w:r w:rsidR="00E23327" w:rsidRPr="001D11CD">
        <w:rPr>
          <w:lang w:val="bg-BG"/>
        </w:rPr>
        <w:t xml:space="preserve">правните </w:t>
      </w:r>
      <w:r w:rsidR="00743505" w:rsidRPr="001D11CD">
        <w:rPr>
          <w:lang w:val="bg-BG"/>
        </w:rPr>
        <w:t xml:space="preserve">средства за защита, </w:t>
      </w:r>
      <w:r w:rsidR="00553C1F" w:rsidRPr="001D11CD">
        <w:rPr>
          <w:lang w:val="bg-BG"/>
        </w:rPr>
        <w:t xml:space="preserve">които са </w:t>
      </w:r>
      <w:r w:rsidR="00743505" w:rsidRPr="001D11CD">
        <w:rPr>
          <w:lang w:val="bg-BG"/>
        </w:rPr>
        <w:t xml:space="preserve">свързани с посоченото нарушение и </w:t>
      </w:r>
      <w:r w:rsidR="00D34E5B" w:rsidRPr="001D11CD">
        <w:rPr>
          <w:lang w:val="bg-BG"/>
        </w:rPr>
        <w:t>в състояние</w:t>
      </w:r>
      <w:r w:rsidR="00743505" w:rsidRPr="001D11CD">
        <w:rPr>
          <w:lang w:val="bg-BG"/>
        </w:rPr>
        <w:t xml:space="preserve"> да го поправят. </w:t>
      </w:r>
      <w:r w:rsidR="00D34E5B" w:rsidRPr="001D11CD">
        <w:rPr>
          <w:lang w:val="bg-BG"/>
        </w:rPr>
        <w:t xml:space="preserve">Въпросните </w:t>
      </w:r>
      <w:r w:rsidR="00743505" w:rsidRPr="001D11CD">
        <w:rPr>
          <w:lang w:val="bg-BG"/>
        </w:rPr>
        <w:t xml:space="preserve">средства </w:t>
      </w:r>
      <w:r w:rsidR="00E23327" w:rsidRPr="001D11CD">
        <w:rPr>
          <w:lang w:val="bg-BG"/>
        </w:rPr>
        <w:t>т</w:t>
      </w:r>
      <w:r w:rsidR="00743505" w:rsidRPr="001D11CD">
        <w:rPr>
          <w:lang w:val="bg-BG"/>
        </w:rPr>
        <w:t xml:space="preserve">рябва да съществуват с достатъчна степен на сигурност не само на теория, но и на практика, в противен случай </w:t>
      </w:r>
      <w:r w:rsidR="00D34E5B" w:rsidRPr="001D11CD">
        <w:rPr>
          <w:lang w:val="bg-BG"/>
        </w:rPr>
        <w:t xml:space="preserve">те ще са лишени от </w:t>
      </w:r>
      <w:r w:rsidR="00743505" w:rsidRPr="001D11CD">
        <w:rPr>
          <w:lang w:val="bg-BG"/>
        </w:rPr>
        <w:t>желан</w:t>
      </w:r>
      <w:r w:rsidR="00B95E97" w:rsidRPr="001D11CD">
        <w:rPr>
          <w:lang w:val="bg-BG"/>
        </w:rPr>
        <w:t>ите</w:t>
      </w:r>
      <w:r w:rsidR="00743505" w:rsidRPr="001D11CD">
        <w:rPr>
          <w:lang w:val="bg-BG"/>
        </w:rPr>
        <w:t xml:space="preserve"> ефективност и достъпност. </w:t>
      </w:r>
      <w:r w:rsidR="00D34E5B" w:rsidRPr="001D11CD">
        <w:rPr>
          <w:lang w:val="bg-BG"/>
        </w:rPr>
        <w:t>На д</w:t>
      </w:r>
      <w:r w:rsidR="000A62E1" w:rsidRPr="001D11CD">
        <w:rPr>
          <w:lang w:val="bg-BG"/>
        </w:rPr>
        <w:t xml:space="preserve">ържавата </w:t>
      </w:r>
      <w:r w:rsidR="00743505" w:rsidRPr="001D11CD">
        <w:rPr>
          <w:lang w:val="bg-BG"/>
        </w:rPr>
        <w:t xml:space="preserve">ответник </w:t>
      </w:r>
      <w:r w:rsidR="00D34E5B" w:rsidRPr="001D11CD">
        <w:rPr>
          <w:lang w:val="bg-BG"/>
        </w:rPr>
        <w:t xml:space="preserve">се пада задължението </w:t>
      </w:r>
      <w:r w:rsidR="00743505" w:rsidRPr="001D11CD">
        <w:rPr>
          <w:lang w:val="bg-BG"/>
        </w:rPr>
        <w:t>да докаже, че в</w:t>
      </w:r>
      <w:r w:rsidR="00E23327" w:rsidRPr="001D11CD">
        <w:rPr>
          <w:lang w:val="bg-BG"/>
        </w:rPr>
        <w:t>сички тези условия са изпълнени</w:t>
      </w:r>
      <w:r w:rsidR="000B760F" w:rsidRPr="001D11CD">
        <w:rPr>
          <w:rFonts w:ascii="Times New Roman" w:hAnsi="Times New Roman" w:cs="Times New Roman"/>
          <w:lang w:val="bg-BG"/>
        </w:rPr>
        <w:t xml:space="preserve"> (</w:t>
      </w:r>
      <w:r w:rsidR="00DA1849" w:rsidRPr="001D11CD">
        <w:rPr>
          <w:rFonts w:ascii="Times New Roman" w:hAnsi="Times New Roman" w:cs="Times New Roman"/>
          <w:lang w:val="bg-BG"/>
        </w:rPr>
        <w:t>вж</w:t>
      </w:r>
      <w:r w:rsidR="000A62E1" w:rsidRPr="001D11CD">
        <w:rPr>
          <w:rFonts w:ascii="Times New Roman" w:hAnsi="Times New Roman" w:cs="Times New Roman"/>
          <w:lang w:val="bg-BG"/>
        </w:rPr>
        <w:t>.</w:t>
      </w:r>
      <w:r w:rsidR="000B760F" w:rsidRPr="001D11CD">
        <w:rPr>
          <w:rFonts w:ascii="Times New Roman" w:hAnsi="Times New Roman" w:cs="Times New Roman"/>
          <w:lang w:val="bg-BG"/>
        </w:rPr>
        <w:t xml:space="preserve"> </w:t>
      </w:r>
      <w:r w:rsidR="003023E3" w:rsidRPr="001D11CD">
        <w:rPr>
          <w:rFonts w:ascii="Times New Roman" w:hAnsi="Times New Roman" w:cs="Times New Roman"/>
          <w:lang w:val="bg-BG"/>
        </w:rPr>
        <w:t>наред с много други</w:t>
      </w:r>
      <w:r w:rsidR="000B760F" w:rsidRPr="001D11CD">
        <w:rPr>
          <w:rFonts w:ascii="Times New Roman" w:hAnsi="Times New Roman" w:cs="Times New Roman"/>
          <w:lang w:val="bg-BG"/>
        </w:rPr>
        <w:t xml:space="preserve"> </w:t>
      </w:r>
      <w:proofErr w:type="spellStart"/>
      <w:r w:rsidR="003023E3" w:rsidRPr="001D11CD">
        <w:rPr>
          <w:rFonts w:ascii="Times New Roman" w:hAnsi="Times New Roman" w:cs="Times New Roman"/>
          <w:i/>
          <w:lang w:val="bg-BG"/>
        </w:rPr>
        <w:t>Макфарлан</w:t>
      </w:r>
      <w:proofErr w:type="spellEnd"/>
      <w:r w:rsidR="003023E3" w:rsidRPr="001D11CD">
        <w:rPr>
          <w:rFonts w:ascii="Times New Roman" w:hAnsi="Times New Roman" w:cs="Times New Roman"/>
          <w:i/>
          <w:lang w:val="bg-BG"/>
        </w:rPr>
        <w:t xml:space="preserve"> срещу Ирландия (</w:t>
      </w:r>
      <w:proofErr w:type="spellStart"/>
      <w:r w:rsidR="000B760F" w:rsidRPr="001D11CD">
        <w:rPr>
          <w:rFonts w:ascii="Times New Roman" w:hAnsi="Times New Roman" w:cs="Times New Roman"/>
          <w:i/>
          <w:lang w:val="bg-BG"/>
        </w:rPr>
        <w:t>McFarlane</w:t>
      </w:r>
      <w:proofErr w:type="spellEnd"/>
      <w:r w:rsidR="000B760F" w:rsidRPr="001D11CD">
        <w:rPr>
          <w:rFonts w:ascii="Times New Roman" w:hAnsi="Times New Roman" w:cs="Times New Roman"/>
          <w:i/>
          <w:lang w:val="bg-BG"/>
        </w:rPr>
        <w:t xml:space="preserve"> c. </w:t>
      </w:r>
      <w:proofErr w:type="spellStart"/>
      <w:r w:rsidR="003023E3" w:rsidRPr="001D11CD">
        <w:rPr>
          <w:rFonts w:ascii="Times New Roman" w:hAnsi="Times New Roman" w:cs="Times New Roman"/>
          <w:i/>
          <w:lang w:val="bg-BG"/>
        </w:rPr>
        <w:t>Irlande</w:t>
      </w:r>
      <w:proofErr w:type="spellEnd"/>
      <w:r w:rsidR="003023E3" w:rsidRPr="001D11CD">
        <w:rPr>
          <w:rFonts w:ascii="Times New Roman" w:hAnsi="Times New Roman" w:cs="Times New Roman"/>
          <w:i/>
          <w:lang w:val="bg-BG"/>
        </w:rPr>
        <w:t>)</w:t>
      </w:r>
      <w:r w:rsidR="000B760F" w:rsidRPr="001D11CD">
        <w:rPr>
          <w:rFonts w:ascii="Times New Roman" w:hAnsi="Times New Roman" w:cs="Times New Roman"/>
          <w:i/>
          <w:lang w:val="bg-BG"/>
        </w:rPr>
        <w:t xml:space="preserve"> </w:t>
      </w:r>
      <w:r w:rsidR="000B760F" w:rsidRPr="001D11CD">
        <w:rPr>
          <w:rFonts w:ascii="Times New Roman" w:hAnsi="Times New Roman" w:cs="Times New Roman"/>
          <w:lang w:val="bg-BG"/>
        </w:rPr>
        <w:t>[</w:t>
      </w:r>
      <w:r w:rsidR="00174D23">
        <w:rPr>
          <w:rFonts w:ascii="Times New Roman" w:hAnsi="Times New Roman" w:cs="Times New Roman"/>
          <w:lang w:val="en-US"/>
        </w:rPr>
        <w:t>G</w:t>
      </w:r>
      <w:r w:rsidR="00174D23" w:rsidRPr="001D11CD">
        <w:rPr>
          <w:rFonts w:ascii="Times New Roman" w:hAnsi="Times New Roman" w:cs="Times New Roman"/>
          <w:lang w:val="bg-BG"/>
        </w:rPr>
        <w:t>С</w:t>
      </w:r>
      <w:r w:rsidR="000B760F" w:rsidRPr="001D11CD">
        <w:rPr>
          <w:rFonts w:ascii="Times New Roman" w:hAnsi="Times New Roman" w:cs="Times New Roman"/>
          <w:lang w:val="bg-BG"/>
        </w:rPr>
        <w:t xml:space="preserve">], </w:t>
      </w:r>
      <w:r w:rsidR="003023E3" w:rsidRPr="001D11CD">
        <w:rPr>
          <w:rFonts w:ascii="Times New Roman" w:hAnsi="Times New Roman" w:cs="Times New Roman"/>
          <w:lang w:val="bg-BG"/>
        </w:rPr>
        <w:t>№</w:t>
      </w:r>
      <w:r w:rsidR="000B760F" w:rsidRPr="001D11CD">
        <w:rPr>
          <w:rFonts w:ascii="Times New Roman" w:hAnsi="Times New Roman" w:cs="Times New Roman"/>
          <w:lang w:val="bg-BG"/>
        </w:rPr>
        <w:t xml:space="preserve"> 31333/06, § 107, 10 </w:t>
      </w:r>
      <w:r w:rsidR="003249CC" w:rsidRPr="001D11CD">
        <w:rPr>
          <w:rFonts w:ascii="Times New Roman" w:hAnsi="Times New Roman" w:cs="Times New Roman"/>
          <w:lang w:val="bg-BG"/>
        </w:rPr>
        <w:t>септември</w:t>
      </w:r>
      <w:r w:rsidR="000B760F" w:rsidRPr="001D11CD">
        <w:rPr>
          <w:rFonts w:ascii="Times New Roman" w:hAnsi="Times New Roman" w:cs="Times New Roman"/>
          <w:lang w:val="bg-BG"/>
        </w:rPr>
        <w:t xml:space="preserve"> 2010</w:t>
      </w:r>
      <w:r w:rsidR="000A62E1" w:rsidRPr="001D11CD">
        <w:rPr>
          <w:rFonts w:ascii="Times New Roman" w:hAnsi="Times New Roman" w:cs="Times New Roman"/>
          <w:lang w:val="bg-BG"/>
        </w:rPr>
        <w:t> г.</w:t>
      </w:r>
      <w:r w:rsidR="000B760F" w:rsidRPr="001D11CD">
        <w:rPr>
          <w:rFonts w:ascii="Times New Roman" w:hAnsi="Times New Roman" w:cs="Times New Roman"/>
          <w:lang w:val="bg-BG"/>
        </w:rPr>
        <w:t xml:space="preserve">, </w:t>
      </w:r>
      <w:r w:rsidR="003023E3" w:rsidRPr="001D11CD">
        <w:rPr>
          <w:rFonts w:ascii="Times New Roman" w:hAnsi="Times New Roman" w:cs="Times New Roman"/>
          <w:i/>
          <w:lang w:val="bg-BG"/>
        </w:rPr>
        <w:t>Парило срещу Италия (</w:t>
      </w:r>
      <w:proofErr w:type="spellStart"/>
      <w:r w:rsidR="000B760F" w:rsidRPr="001D11CD">
        <w:rPr>
          <w:i/>
          <w:lang w:val="bg-BG"/>
        </w:rPr>
        <w:t>Parrillo</w:t>
      </w:r>
      <w:proofErr w:type="spellEnd"/>
      <w:r w:rsidR="000B760F" w:rsidRPr="001D11CD">
        <w:rPr>
          <w:i/>
          <w:lang w:val="bg-BG"/>
        </w:rPr>
        <w:t xml:space="preserve"> c. </w:t>
      </w:r>
      <w:proofErr w:type="spellStart"/>
      <w:r w:rsidR="000B760F" w:rsidRPr="001D11CD">
        <w:rPr>
          <w:i/>
          <w:lang w:val="bg-BG"/>
        </w:rPr>
        <w:t>Italie</w:t>
      </w:r>
      <w:proofErr w:type="spellEnd"/>
      <w:r w:rsidR="003023E3" w:rsidRPr="001D11CD">
        <w:rPr>
          <w:i/>
          <w:lang w:val="bg-BG"/>
        </w:rPr>
        <w:t>)</w:t>
      </w:r>
      <w:r w:rsidR="000B760F" w:rsidRPr="001D11CD">
        <w:rPr>
          <w:i/>
          <w:lang w:val="bg-BG"/>
        </w:rPr>
        <w:t xml:space="preserve"> </w:t>
      </w:r>
      <w:r w:rsidR="000B760F" w:rsidRPr="001D11CD">
        <w:rPr>
          <w:lang w:val="bg-BG"/>
        </w:rPr>
        <w:t>[</w:t>
      </w:r>
      <w:r w:rsidR="00174D23">
        <w:rPr>
          <w:lang w:val="en-US"/>
        </w:rPr>
        <w:t>G</w:t>
      </w:r>
      <w:r w:rsidR="00174D23" w:rsidRPr="001D11CD">
        <w:rPr>
          <w:lang w:val="bg-BG"/>
        </w:rPr>
        <w:t>С</w:t>
      </w:r>
      <w:r w:rsidR="000B760F" w:rsidRPr="001D11CD">
        <w:rPr>
          <w:lang w:val="bg-BG"/>
        </w:rPr>
        <w:t xml:space="preserve">], </w:t>
      </w:r>
      <w:r w:rsidR="003023E3" w:rsidRPr="001D11CD">
        <w:rPr>
          <w:lang w:val="bg-BG"/>
        </w:rPr>
        <w:t>№</w:t>
      </w:r>
      <w:r w:rsidR="000B760F" w:rsidRPr="001D11CD">
        <w:rPr>
          <w:lang w:val="bg-BG"/>
        </w:rPr>
        <w:t xml:space="preserve"> 46470/11</w:t>
      </w:r>
      <w:r w:rsidR="000B760F" w:rsidRPr="001D11CD">
        <w:rPr>
          <w:snapToGrid w:val="0"/>
          <w:lang w:val="bg-BG"/>
        </w:rPr>
        <w:t xml:space="preserve">, § 87, </w:t>
      </w:r>
      <w:r w:rsidR="00180250" w:rsidRPr="001D11CD">
        <w:rPr>
          <w:lang w:val="bg-BG"/>
        </w:rPr>
        <w:t>ЕСПЧ</w:t>
      </w:r>
      <w:r w:rsidR="000B760F" w:rsidRPr="001D11CD">
        <w:rPr>
          <w:snapToGrid w:val="0"/>
          <w:lang w:val="bg-BG"/>
        </w:rPr>
        <w:t xml:space="preserve"> 2015</w:t>
      </w:r>
      <w:r w:rsidR="000A62E1" w:rsidRPr="001D11CD">
        <w:rPr>
          <w:snapToGrid w:val="0"/>
          <w:lang w:val="bg-BG"/>
        </w:rPr>
        <w:t> г.</w:t>
      </w:r>
      <w:r w:rsidR="000B760F" w:rsidRPr="001D11CD">
        <w:rPr>
          <w:snapToGrid w:val="0"/>
          <w:lang w:val="bg-BG"/>
        </w:rPr>
        <w:t xml:space="preserve">, </w:t>
      </w:r>
      <w:r w:rsidR="00FE2672" w:rsidRPr="001D11CD">
        <w:rPr>
          <w:snapToGrid w:val="0"/>
          <w:lang w:val="bg-BG"/>
        </w:rPr>
        <w:t>и</w:t>
      </w:r>
      <w:r w:rsidR="000B760F" w:rsidRPr="001D11CD">
        <w:rPr>
          <w:snapToGrid w:val="0"/>
          <w:lang w:val="bg-BG"/>
        </w:rPr>
        <w:t xml:space="preserve"> </w:t>
      </w:r>
      <w:proofErr w:type="spellStart"/>
      <w:r w:rsidR="003023E3" w:rsidRPr="001D11CD">
        <w:rPr>
          <w:i/>
          <w:snapToGrid w:val="0"/>
          <w:lang w:val="bg-BG"/>
        </w:rPr>
        <w:t>Карачони</w:t>
      </w:r>
      <w:proofErr w:type="spellEnd"/>
      <w:r w:rsidR="003023E3" w:rsidRPr="001D11CD">
        <w:rPr>
          <w:i/>
          <w:snapToGrid w:val="0"/>
          <w:lang w:val="bg-BG"/>
        </w:rPr>
        <w:t xml:space="preserve"> и други срещу </w:t>
      </w:r>
      <w:r w:rsidR="003023E3" w:rsidRPr="001D11CD">
        <w:rPr>
          <w:i/>
          <w:lang w:val="bg-BG"/>
        </w:rPr>
        <w:t>Унгария (</w:t>
      </w:r>
      <w:proofErr w:type="spellStart"/>
      <w:r w:rsidR="000B760F" w:rsidRPr="001D11CD">
        <w:rPr>
          <w:i/>
          <w:lang w:val="bg-BG"/>
        </w:rPr>
        <w:t>Karácsony</w:t>
      </w:r>
      <w:proofErr w:type="spellEnd"/>
      <w:r w:rsidR="000B760F" w:rsidRPr="001D11CD">
        <w:rPr>
          <w:i/>
          <w:lang w:val="bg-BG"/>
        </w:rPr>
        <w:t xml:space="preserve"> </w:t>
      </w:r>
      <w:proofErr w:type="spellStart"/>
      <w:r w:rsidR="000B760F" w:rsidRPr="001D11CD">
        <w:rPr>
          <w:i/>
          <w:lang w:val="bg-BG"/>
        </w:rPr>
        <w:t>et</w:t>
      </w:r>
      <w:proofErr w:type="spellEnd"/>
      <w:r w:rsidR="000B760F" w:rsidRPr="001D11CD">
        <w:rPr>
          <w:i/>
          <w:lang w:val="bg-BG"/>
        </w:rPr>
        <w:t xml:space="preserve"> </w:t>
      </w:r>
      <w:proofErr w:type="spellStart"/>
      <w:r w:rsidR="000B760F" w:rsidRPr="001D11CD">
        <w:rPr>
          <w:i/>
          <w:lang w:val="bg-BG"/>
        </w:rPr>
        <w:t>autres</w:t>
      </w:r>
      <w:proofErr w:type="spellEnd"/>
      <w:r w:rsidR="000B760F" w:rsidRPr="001D11CD">
        <w:rPr>
          <w:i/>
          <w:lang w:val="bg-BG"/>
        </w:rPr>
        <w:t xml:space="preserve"> </w:t>
      </w:r>
      <w:r w:rsidR="003023E3" w:rsidRPr="001D11CD">
        <w:rPr>
          <w:i/>
          <w:lang w:val="bg-BG"/>
        </w:rPr>
        <w:t xml:space="preserve">c. </w:t>
      </w:r>
      <w:proofErr w:type="spellStart"/>
      <w:r w:rsidR="003023E3" w:rsidRPr="001D11CD">
        <w:rPr>
          <w:i/>
          <w:lang w:val="bg-BG"/>
        </w:rPr>
        <w:t>Hongrie</w:t>
      </w:r>
      <w:proofErr w:type="spellEnd"/>
      <w:r w:rsidR="003023E3" w:rsidRPr="001D11CD">
        <w:rPr>
          <w:i/>
          <w:lang w:val="bg-BG"/>
        </w:rPr>
        <w:t>)</w:t>
      </w:r>
      <w:r w:rsidR="0090157E" w:rsidRPr="001D11CD">
        <w:rPr>
          <w:i/>
          <w:lang w:val="bg-BG"/>
        </w:rPr>
        <w:t xml:space="preserve"> </w:t>
      </w:r>
      <w:r w:rsidR="000B760F" w:rsidRPr="001D11CD">
        <w:rPr>
          <w:lang w:val="bg-BG"/>
        </w:rPr>
        <w:t>[</w:t>
      </w:r>
      <w:r w:rsidR="00174D23">
        <w:rPr>
          <w:lang w:val="en-US"/>
        </w:rPr>
        <w:t>G</w:t>
      </w:r>
      <w:r w:rsidR="00174D23" w:rsidRPr="001D11CD">
        <w:rPr>
          <w:lang w:val="bg-BG"/>
        </w:rPr>
        <w:t>С</w:t>
      </w:r>
      <w:r w:rsidR="000B760F" w:rsidRPr="001D11CD">
        <w:rPr>
          <w:lang w:val="bg-BG"/>
        </w:rPr>
        <w:t xml:space="preserve">], </w:t>
      </w:r>
      <w:r w:rsidR="003023E3" w:rsidRPr="001D11CD">
        <w:rPr>
          <w:lang w:val="bg-BG"/>
        </w:rPr>
        <w:t>№</w:t>
      </w:r>
      <w:r w:rsidR="000B760F" w:rsidRPr="001D11CD">
        <w:rPr>
          <w:lang w:val="bg-BG"/>
        </w:rPr>
        <w:t xml:space="preserve"> 42461/13 </w:t>
      </w:r>
      <w:r w:rsidR="003023E3" w:rsidRPr="001D11CD">
        <w:rPr>
          <w:lang w:val="bg-BG"/>
        </w:rPr>
        <w:t>и</w:t>
      </w:r>
      <w:r w:rsidR="000B760F" w:rsidRPr="001D11CD">
        <w:rPr>
          <w:lang w:val="bg-BG"/>
        </w:rPr>
        <w:t xml:space="preserve"> 44357/13</w:t>
      </w:r>
      <w:r w:rsidR="000B760F" w:rsidRPr="001D11CD">
        <w:rPr>
          <w:snapToGrid w:val="0"/>
          <w:lang w:val="bg-BG"/>
        </w:rPr>
        <w:t>, § 76, 17 </w:t>
      </w:r>
      <w:r w:rsidR="003023E3" w:rsidRPr="001D11CD">
        <w:rPr>
          <w:snapToGrid w:val="0"/>
          <w:lang w:val="bg-BG"/>
        </w:rPr>
        <w:t>май</w:t>
      </w:r>
      <w:r w:rsidR="000B760F" w:rsidRPr="001D11CD">
        <w:rPr>
          <w:snapToGrid w:val="0"/>
          <w:lang w:val="bg-BG"/>
        </w:rPr>
        <w:t xml:space="preserve"> 2016</w:t>
      </w:r>
      <w:r w:rsidR="000A62E1" w:rsidRPr="001D11CD">
        <w:rPr>
          <w:snapToGrid w:val="0"/>
          <w:lang w:val="bg-BG"/>
        </w:rPr>
        <w:t> г.</w:t>
      </w:r>
      <w:r w:rsidR="000B760F" w:rsidRPr="001D11CD">
        <w:rPr>
          <w:rFonts w:ascii="Times New Roman" w:hAnsi="Times New Roman" w:cs="Times New Roman"/>
          <w:lang w:val="bg-BG"/>
        </w:rPr>
        <w:t>).</w:t>
      </w:r>
    </w:p>
    <w:p w14:paraId="3DAE9F7E" w14:textId="19810885" w:rsidR="003023E3" w:rsidRPr="001D11CD" w:rsidRDefault="000B760F" w:rsidP="003023E3">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38</w:t>
      </w:r>
      <w:r w:rsidRPr="001D11CD">
        <w:rPr>
          <w:lang w:val="bg-BG"/>
        </w:rPr>
        <w:fldChar w:fldCharType="end"/>
      </w:r>
      <w:r w:rsidRPr="001D11CD">
        <w:rPr>
          <w:lang w:val="bg-BG"/>
        </w:rPr>
        <w:t>.  </w:t>
      </w:r>
      <w:r w:rsidR="003023E3" w:rsidRPr="001D11CD">
        <w:rPr>
          <w:lang w:val="bg-BG"/>
        </w:rPr>
        <w:t>Съдът констатира, че предложеното от Правителството правно средство за защита се основава на член 150, ал. 1 от българската Конституция, който предвижда, че по инициатива на най-малко една пета от народните представители Конституционният съд може да бъде сезиран с искане дадена законова разпоредба да бъде обявена за противоконституционна (параграф 12 по-горе). Той отбеляз</w:t>
      </w:r>
      <w:r w:rsidR="00DF0C2B" w:rsidRPr="001D11CD">
        <w:rPr>
          <w:lang w:val="bg-BG"/>
        </w:rPr>
        <w:t>в</w:t>
      </w:r>
      <w:r w:rsidR="003023E3" w:rsidRPr="001D11CD">
        <w:rPr>
          <w:lang w:val="bg-BG"/>
        </w:rPr>
        <w:t xml:space="preserve">а, че </w:t>
      </w:r>
      <w:r w:rsidR="009605CC" w:rsidRPr="001D11CD">
        <w:rPr>
          <w:lang w:val="bg-BG"/>
        </w:rPr>
        <w:t xml:space="preserve">в българското законодателство не съществува </w:t>
      </w:r>
      <w:r w:rsidR="003023E3" w:rsidRPr="001D11CD">
        <w:rPr>
          <w:lang w:val="bg-BG"/>
        </w:rPr>
        <w:t>индивидуалната конституционна жалба и че</w:t>
      </w:r>
      <w:r w:rsidR="00553C1F">
        <w:rPr>
          <w:lang w:val="bg-BG"/>
        </w:rPr>
        <w:t>,</w:t>
      </w:r>
      <w:r w:rsidR="003023E3" w:rsidRPr="001D11CD">
        <w:rPr>
          <w:lang w:val="bg-BG"/>
        </w:rPr>
        <w:t xml:space="preserve"> за да упражни </w:t>
      </w:r>
      <w:r w:rsidR="009605CC" w:rsidRPr="001D11CD">
        <w:rPr>
          <w:lang w:val="bg-BG"/>
        </w:rPr>
        <w:t>правния способ</w:t>
      </w:r>
      <w:r w:rsidR="003023E3" w:rsidRPr="001D11CD">
        <w:rPr>
          <w:lang w:val="bg-BG"/>
        </w:rPr>
        <w:t xml:space="preserve">, посочен от Правителството, жалбоподателят е трябвало да си осигури подкрепата на една пета от българските депутати, което дори и като се има предвид статута му на партиен лидер и </w:t>
      </w:r>
      <w:r w:rsidR="009605CC" w:rsidRPr="001D11CD">
        <w:rPr>
          <w:lang w:val="bg-BG"/>
        </w:rPr>
        <w:t>председател</w:t>
      </w:r>
      <w:r w:rsidR="003023E3" w:rsidRPr="001D11CD">
        <w:rPr>
          <w:lang w:val="bg-BG"/>
        </w:rPr>
        <w:t xml:space="preserve"> на парламентарна група</w:t>
      </w:r>
      <w:r w:rsidR="009605CC" w:rsidRPr="001D11CD">
        <w:rPr>
          <w:lang w:val="bg-BG"/>
        </w:rPr>
        <w:t>,</w:t>
      </w:r>
      <w:r w:rsidR="003023E3" w:rsidRPr="001D11CD">
        <w:rPr>
          <w:lang w:val="bg-BG"/>
        </w:rPr>
        <w:t xml:space="preserve"> не </w:t>
      </w:r>
      <w:r w:rsidR="009605CC" w:rsidRPr="001D11CD">
        <w:rPr>
          <w:lang w:val="bg-BG"/>
        </w:rPr>
        <w:t>е очевидно</w:t>
      </w:r>
      <w:r w:rsidR="003023E3" w:rsidRPr="001D11CD">
        <w:rPr>
          <w:lang w:val="bg-BG"/>
        </w:rPr>
        <w:t xml:space="preserve">. Дори да се предположи, че жалбоподателят </w:t>
      </w:r>
      <w:r w:rsidR="009605CC" w:rsidRPr="001D11CD">
        <w:rPr>
          <w:lang w:val="bg-BG"/>
        </w:rPr>
        <w:t>успее</w:t>
      </w:r>
      <w:r w:rsidR="003023E3" w:rsidRPr="001D11CD">
        <w:rPr>
          <w:lang w:val="bg-BG"/>
        </w:rPr>
        <w:t xml:space="preserve"> да инициира </w:t>
      </w:r>
      <w:r w:rsidR="009605CC" w:rsidRPr="001D11CD">
        <w:rPr>
          <w:lang w:val="bg-BG"/>
        </w:rPr>
        <w:t>подобно</w:t>
      </w:r>
      <w:r w:rsidR="003023E3" w:rsidRPr="001D11CD">
        <w:rPr>
          <w:lang w:val="bg-BG"/>
        </w:rPr>
        <w:t xml:space="preserve"> производство пред </w:t>
      </w:r>
      <w:r w:rsidR="009605CC" w:rsidRPr="001D11CD">
        <w:rPr>
          <w:lang w:val="bg-BG"/>
        </w:rPr>
        <w:t>Конституционния с</w:t>
      </w:r>
      <w:r w:rsidR="003023E3" w:rsidRPr="001D11CD">
        <w:rPr>
          <w:lang w:val="bg-BG"/>
        </w:rPr>
        <w:t>ъд, евентуално</w:t>
      </w:r>
      <w:r w:rsidR="009605CC" w:rsidRPr="001D11CD">
        <w:rPr>
          <w:lang w:val="bg-BG"/>
        </w:rPr>
        <w:t>то</w:t>
      </w:r>
      <w:r w:rsidR="003023E3" w:rsidRPr="001D11CD">
        <w:rPr>
          <w:lang w:val="bg-BG"/>
        </w:rPr>
        <w:t xml:space="preserve"> решение за </w:t>
      </w:r>
      <w:proofErr w:type="spellStart"/>
      <w:r w:rsidR="003023E3" w:rsidRPr="001D11CD">
        <w:rPr>
          <w:lang w:val="bg-BG"/>
        </w:rPr>
        <w:t>противоконституционност</w:t>
      </w:r>
      <w:proofErr w:type="spellEnd"/>
      <w:r w:rsidR="003023E3" w:rsidRPr="001D11CD">
        <w:rPr>
          <w:lang w:val="bg-BG"/>
        </w:rPr>
        <w:t xml:space="preserve">, взето </w:t>
      </w:r>
      <w:r w:rsidR="009605CC" w:rsidRPr="001D11CD">
        <w:rPr>
          <w:lang w:val="bg-BG"/>
        </w:rPr>
        <w:t xml:space="preserve">от </w:t>
      </w:r>
      <w:r w:rsidR="003023E3" w:rsidRPr="001D11CD">
        <w:rPr>
          <w:lang w:val="bg-BG"/>
        </w:rPr>
        <w:t xml:space="preserve">този съд по отношение на </w:t>
      </w:r>
      <w:r w:rsidR="00E54ED5" w:rsidRPr="001D11CD">
        <w:rPr>
          <w:lang w:val="bg-BG"/>
        </w:rPr>
        <w:t>процесната</w:t>
      </w:r>
      <w:r w:rsidR="003023E3" w:rsidRPr="001D11CD">
        <w:rPr>
          <w:lang w:val="bg-BG"/>
        </w:rPr>
        <w:t xml:space="preserve"> разпоредба, би имало ефект само за в бъдеще: </w:t>
      </w:r>
      <w:r w:rsidR="009605CC" w:rsidRPr="001D11CD">
        <w:rPr>
          <w:lang w:val="bg-BG"/>
        </w:rPr>
        <w:t xml:space="preserve">както </w:t>
      </w:r>
      <w:r w:rsidR="003023E3" w:rsidRPr="001D11CD">
        <w:rPr>
          <w:lang w:val="bg-BG"/>
        </w:rPr>
        <w:t xml:space="preserve">изглежда, Конституционният съд </w:t>
      </w:r>
      <w:r w:rsidR="009605CC" w:rsidRPr="001D11CD">
        <w:rPr>
          <w:lang w:val="bg-BG"/>
        </w:rPr>
        <w:t xml:space="preserve">няма </w:t>
      </w:r>
      <w:r w:rsidR="003023E3" w:rsidRPr="001D11CD">
        <w:rPr>
          <w:lang w:val="bg-BG"/>
        </w:rPr>
        <w:t>правомощието да обезсили индивидуално решение</w:t>
      </w:r>
      <w:r w:rsidR="009605CC" w:rsidRPr="001D11CD">
        <w:rPr>
          <w:lang w:val="bg-BG"/>
        </w:rPr>
        <w:t>, взе</w:t>
      </w:r>
      <w:r w:rsidR="003023E3" w:rsidRPr="001D11CD">
        <w:rPr>
          <w:lang w:val="bg-BG"/>
        </w:rPr>
        <w:t>то въз основа на тази разпоредба (параграф</w:t>
      </w:r>
      <w:r w:rsidR="000A62E1" w:rsidRPr="001D11CD">
        <w:rPr>
          <w:lang w:val="bg-BG"/>
        </w:rPr>
        <w:t> </w:t>
      </w:r>
      <w:r w:rsidR="003023E3" w:rsidRPr="001D11CD">
        <w:rPr>
          <w:lang w:val="bg-BG"/>
        </w:rPr>
        <w:t>13 по-горе). Следователно н</w:t>
      </w:r>
      <w:r w:rsidR="00F50CC4" w:rsidRPr="001D11CD">
        <w:rPr>
          <w:lang w:val="bg-BG"/>
        </w:rPr>
        <w:t xml:space="preserve">яма доказателства, </w:t>
      </w:r>
      <w:r w:rsidR="003023E3" w:rsidRPr="001D11CD">
        <w:rPr>
          <w:lang w:val="bg-BG"/>
        </w:rPr>
        <w:t xml:space="preserve">че горепосоченото </w:t>
      </w:r>
      <w:r w:rsidR="00F50CC4" w:rsidRPr="001D11CD">
        <w:rPr>
          <w:lang w:val="bg-BG"/>
        </w:rPr>
        <w:t>правно средство за защита</w:t>
      </w:r>
      <w:r w:rsidR="003023E3" w:rsidRPr="001D11CD">
        <w:rPr>
          <w:lang w:val="bg-BG"/>
        </w:rPr>
        <w:t xml:space="preserve">, дори и </w:t>
      </w:r>
      <w:r w:rsidR="00DF0C2B" w:rsidRPr="001D11CD">
        <w:rPr>
          <w:lang w:val="bg-BG"/>
        </w:rPr>
        <w:t>при успех</w:t>
      </w:r>
      <w:r w:rsidR="003023E3" w:rsidRPr="001D11CD">
        <w:rPr>
          <w:lang w:val="bg-BG"/>
        </w:rPr>
        <w:t xml:space="preserve">, би дало възможност на жалбоподателя да поиска преразглеждане на </w:t>
      </w:r>
      <w:r w:rsidR="00F50CC4" w:rsidRPr="001D11CD">
        <w:rPr>
          <w:lang w:val="bg-BG"/>
        </w:rPr>
        <w:t>процесното</w:t>
      </w:r>
      <w:r w:rsidR="003023E3" w:rsidRPr="001D11CD">
        <w:rPr>
          <w:lang w:val="bg-BG"/>
        </w:rPr>
        <w:t xml:space="preserve"> решение.</w:t>
      </w:r>
    </w:p>
    <w:p w14:paraId="7AA7CED5" w14:textId="4615C856"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39</w:t>
      </w:r>
      <w:r w:rsidRPr="001D11CD">
        <w:rPr>
          <w:lang w:val="bg-BG"/>
        </w:rPr>
        <w:fldChar w:fldCharType="end"/>
      </w:r>
      <w:r w:rsidRPr="001D11CD">
        <w:rPr>
          <w:lang w:val="bg-BG"/>
        </w:rPr>
        <w:t>.  </w:t>
      </w:r>
      <w:r w:rsidR="00FD68AB" w:rsidRPr="001D11CD">
        <w:rPr>
          <w:lang w:val="bg-BG"/>
        </w:rPr>
        <w:t>С оглед на горното Съдът счита, че конституционна жалба, основана на разпоредбите на член 150, параграф</w:t>
      </w:r>
      <w:r w:rsidR="000A62E1" w:rsidRPr="001D11CD">
        <w:rPr>
          <w:lang w:val="bg-BG"/>
        </w:rPr>
        <w:t> </w:t>
      </w:r>
      <w:r w:rsidR="00FD68AB" w:rsidRPr="001D11CD">
        <w:rPr>
          <w:lang w:val="bg-BG"/>
        </w:rPr>
        <w:t>1 от Конституцията, не се явява за жалбоподателя ефективно правно средство за защита по смисъла на член 35</w:t>
      </w:r>
      <w:r w:rsidR="000A62E1" w:rsidRPr="001D11CD">
        <w:rPr>
          <w:lang w:val="bg-BG"/>
        </w:rPr>
        <w:t>,</w:t>
      </w:r>
      <w:r w:rsidR="00FD68AB" w:rsidRPr="001D11CD">
        <w:rPr>
          <w:lang w:val="bg-BG"/>
        </w:rPr>
        <w:t xml:space="preserve"> §</w:t>
      </w:r>
      <w:r w:rsidR="000A62E1" w:rsidRPr="001D11CD">
        <w:rPr>
          <w:lang w:val="bg-BG"/>
        </w:rPr>
        <w:t> </w:t>
      </w:r>
      <w:r w:rsidR="00FD68AB" w:rsidRPr="001D11CD">
        <w:rPr>
          <w:lang w:val="bg-BG"/>
        </w:rPr>
        <w:t xml:space="preserve">1 от Конвенцията, тъй като дори и при успех тя не би позволила поправяне на </w:t>
      </w:r>
      <w:r w:rsidR="00D177F2" w:rsidRPr="001D11CD">
        <w:rPr>
          <w:lang w:val="bg-BG"/>
        </w:rPr>
        <w:t xml:space="preserve">твърдяното нарушение </w:t>
      </w:r>
      <w:r w:rsidRPr="001D11CD">
        <w:rPr>
          <w:lang w:val="bg-BG"/>
        </w:rPr>
        <w:t>(</w:t>
      </w:r>
      <w:r w:rsidR="00DA1849" w:rsidRPr="001D11CD">
        <w:rPr>
          <w:iCs/>
          <w:lang w:val="bg-BG"/>
        </w:rPr>
        <w:t>вж</w:t>
      </w:r>
      <w:r w:rsidR="000A62E1" w:rsidRPr="001D11CD">
        <w:rPr>
          <w:iCs/>
          <w:lang w:val="bg-BG"/>
        </w:rPr>
        <w:t>.</w:t>
      </w:r>
      <w:r w:rsidRPr="001D11CD">
        <w:rPr>
          <w:iCs/>
          <w:lang w:val="bg-BG"/>
        </w:rPr>
        <w:t xml:space="preserve"> </w:t>
      </w:r>
      <w:proofErr w:type="spellStart"/>
      <w:r w:rsidRPr="001D11CD">
        <w:rPr>
          <w:i/>
          <w:lang w:val="bg-BG"/>
        </w:rPr>
        <w:t>mutatis</w:t>
      </w:r>
      <w:proofErr w:type="spellEnd"/>
      <w:r w:rsidRPr="001D11CD">
        <w:rPr>
          <w:i/>
          <w:lang w:val="bg-BG"/>
        </w:rPr>
        <w:t xml:space="preserve"> </w:t>
      </w:r>
      <w:proofErr w:type="spellStart"/>
      <w:r w:rsidRPr="001D11CD">
        <w:rPr>
          <w:i/>
          <w:lang w:val="bg-BG"/>
        </w:rPr>
        <w:t>mutandis</w:t>
      </w:r>
      <w:proofErr w:type="spellEnd"/>
      <w:r w:rsidRPr="001D11CD">
        <w:rPr>
          <w:lang w:val="bg-BG"/>
        </w:rPr>
        <w:t xml:space="preserve">, </w:t>
      </w:r>
      <w:proofErr w:type="spellStart"/>
      <w:r w:rsidRPr="001D11CD">
        <w:rPr>
          <w:i/>
          <w:lang w:val="bg-BG"/>
        </w:rPr>
        <w:t>Magyar</w:t>
      </w:r>
      <w:proofErr w:type="spellEnd"/>
      <w:r w:rsidRPr="001D11CD">
        <w:rPr>
          <w:i/>
          <w:lang w:val="bg-BG"/>
        </w:rPr>
        <w:t xml:space="preserve"> </w:t>
      </w:r>
      <w:proofErr w:type="spellStart"/>
      <w:r w:rsidRPr="001D11CD">
        <w:rPr>
          <w:i/>
          <w:lang w:val="bg-BG"/>
        </w:rPr>
        <w:t>Keresztény</w:t>
      </w:r>
      <w:proofErr w:type="spellEnd"/>
      <w:r w:rsidRPr="001D11CD">
        <w:rPr>
          <w:i/>
          <w:lang w:val="bg-BG"/>
        </w:rPr>
        <w:t xml:space="preserve"> </w:t>
      </w:r>
      <w:proofErr w:type="spellStart"/>
      <w:r w:rsidRPr="001D11CD">
        <w:rPr>
          <w:i/>
          <w:lang w:val="bg-BG"/>
        </w:rPr>
        <w:t>Mennonita</w:t>
      </w:r>
      <w:proofErr w:type="spellEnd"/>
      <w:r w:rsidRPr="001D11CD">
        <w:rPr>
          <w:i/>
          <w:lang w:val="bg-BG"/>
        </w:rPr>
        <w:t xml:space="preserve"> </w:t>
      </w:r>
      <w:proofErr w:type="spellStart"/>
      <w:r w:rsidRPr="001D11CD">
        <w:rPr>
          <w:i/>
          <w:lang w:val="bg-BG"/>
        </w:rPr>
        <w:t>Egyház</w:t>
      </w:r>
      <w:proofErr w:type="spellEnd"/>
      <w:r w:rsidRPr="001D11CD">
        <w:rPr>
          <w:i/>
          <w:lang w:val="bg-BG"/>
        </w:rPr>
        <w:t xml:space="preserve"> </w:t>
      </w:r>
      <w:r w:rsidR="0044525D" w:rsidRPr="001D11CD">
        <w:rPr>
          <w:i/>
          <w:lang w:val="bg-BG"/>
        </w:rPr>
        <w:t>и други</w:t>
      </w:r>
      <w:r w:rsidRPr="001D11CD">
        <w:rPr>
          <w:lang w:val="bg-BG"/>
        </w:rPr>
        <w:t xml:space="preserve"> </w:t>
      </w:r>
      <w:r w:rsidR="0090157E" w:rsidRPr="001D11CD">
        <w:rPr>
          <w:i/>
          <w:lang w:val="bg-BG"/>
        </w:rPr>
        <w:t>срещу Унгария</w:t>
      </w:r>
      <w:r w:rsidR="0044525D" w:rsidRPr="001D11CD">
        <w:rPr>
          <w:i/>
          <w:lang w:val="bg-BG"/>
        </w:rPr>
        <w:t xml:space="preserve"> (</w:t>
      </w:r>
      <w:proofErr w:type="spellStart"/>
      <w:r w:rsidR="0044525D" w:rsidRPr="001D11CD">
        <w:rPr>
          <w:i/>
          <w:lang w:val="bg-BG"/>
        </w:rPr>
        <w:t>Magyar</w:t>
      </w:r>
      <w:proofErr w:type="spellEnd"/>
      <w:r w:rsidR="0044525D" w:rsidRPr="001D11CD">
        <w:rPr>
          <w:i/>
          <w:lang w:val="bg-BG"/>
        </w:rPr>
        <w:t xml:space="preserve"> </w:t>
      </w:r>
      <w:proofErr w:type="spellStart"/>
      <w:r w:rsidR="0044525D" w:rsidRPr="001D11CD">
        <w:rPr>
          <w:i/>
          <w:lang w:val="bg-BG"/>
        </w:rPr>
        <w:t>Keresztény</w:t>
      </w:r>
      <w:proofErr w:type="spellEnd"/>
      <w:r w:rsidR="0044525D" w:rsidRPr="001D11CD">
        <w:rPr>
          <w:i/>
          <w:lang w:val="bg-BG"/>
        </w:rPr>
        <w:t xml:space="preserve"> </w:t>
      </w:r>
      <w:proofErr w:type="spellStart"/>
      <w:r w:rsidR="0044525D" w:rsidRPr="001D11CD">
        <w:rPr>
          <w:i/>
          <w:lang w:val="bg-BG"/>
        </w:rPr>
        <w:t>Mennonita</w:t>
      </w:r>
      <w:proofErr w:type="spellEnd"/>
      <w:r w:rsidR="0044525D" w:rsidRPr="001D11CD">
        <w:rPr>
          <w:i/>
          <w:lang w:val="bg-BG"/>
        </w:rPr>
        <w:t xml:space="preserve"> </w:t>
      </w:r>
      <w:proofErr w:type="spellStart"/>
      <w:r w:rsidR="0044525D" w:rsidRPr="001D11CD">
        <w:rPr>
          <w:i/>
          <w:lang w:val="bg-BG"/>
        </w:rPr>
        <w:t>Egyház</w:t>
      </w:r>
      <w:proofErr w:type="spellEnd"/>
      <w:r w:rsidR="0044525D" w:rsidRPr="001D11CD">
        <w:rPr>
          <w:i/>
          <w:lang w:val="bg-BG"/>
        </w:rPr>
        <w:t xml:space="preserve"> </w:t>
      </w:r>
      <w:proofErr w:type="spellStart"/>
      <w:r w:rsidR="0044525D" w:rsidRPr="001D11CD">
        <w:rPr>
          <w:i/>
          <w:lang w:val="bg-BG"/>
        </w:rPr>
        <w:t>et</w:t>
      </w:r>
      <w:proofErr w:type="spellEnd"/>
      <w:r w:rsidR="0044525D" w:rsidRPr="001D11CD">
        <w:rPr>
          <w:i/>
          <w:lang w:val="bg-BG"/>
        </w:rPr>
        <w:t xml:space="preserve"> </w:t>
      </w:r>
      <w:proofErr w:type="spellStart"/>
      <w:r w:rsidR="0044525D" w:rsidRPr="001D11CD">
        <w:rPr>
          <w:i/>
          <w:lang w:val="bg-BG"/>
        </w:rPr>
        <w:t>autres</w:t>
      </w:r>
      <w:proofErr w:type="spellEnd"/>
      <w:r w:rsidR="0044525D" w:rsidRPr="001D11CD">
        <w:rPr>
          <w:lang w:val="bg-BG"/>
        </w:rPr>
        <w:t xml:space="preserve"> </w:t>
      </w:r>
      <w:r w:rsidR="0044525D" w:rsidRPr="001D11CD">
        <w:rPr>
          <w:i/>
          <w:lang w:val="bg-BG"/>
        </w:rPr>
        <w:t xml:space="preserve">c. </w:t>
      </w:r>
      <w:proofErr w:type="spellStart"/>
      <w:r w:rsidR="0044525D" w:rsidRPr="001D11CD">
        <w:rPr>
          <w:i/>
          <w:lang w:val="bg-BG"/>
        </w:rPr>
        <w:t>Hongrie</w:t>
      </w:r>
      <w:proofErr w:type="spellEnd"/>
      <w:r w:rsidR="0044525D" w:rsidRPr="001D11CD">
        <w:rPr>
          <w:i/>
          <w:lang w:val="bg-BG"/>
        </w:rPr>
        <w:t>)</w:t>
      </w:r>
      <w:r w:rsidRPr="001D11CD">
        <w:rPr>
          <w:lang w:val="bg-BG"/>
        </w:rPr>
        <w:t xml:space="preserve">, </w:t>
      </w:r>
      <w:r w:rsidR="0044525D" w:rsidRPr="001D11CD">
        <w:rPr>
          <w:lang w:val="bg-BG"/>
        </w:rPr>
        <w:t>№</w:t>
      </w:r>
      <w:r w:rsidRPr="001D11CD">
        <w:rPr>
          <w:lang w:val="bg-BG"/>
        </w:rPr>
        <w:t xml:space="preserve"> 70945/11 </w:t>
      </w:r>
      <w:r w:rsidR="0044525D" w:rsidRPr="001D11CD">
        <w:rPr>
          <w:lang w:val="bg-BG"/>
        </w:rPr>
        <w:t>и</w:t>
      </w:r>
      <w:r w:rsidRPr="001D11CD">
        <w:rPr>
          <w:lang w:val="bg-BG"/>
        </w:rPr>
        <w:t xml:space="preserve"> 8 </w:t>
      </w:r>
      <w:r w:rsidR="0044525D" w:rsidRPr="001D11CD">
        <w:rPr>
          <w:lang w:val="bg-BG"/>
        </w:rPr>
        <w:t>други</w:t>
      </w:r>
      <w:r w:rsidRPr="001D11CD">
        <w:rPr>
          <w:lang w:val="bg-BG"/>
        </w:rPr>
        <w:t xml:space="preserve">, § 50, 8 </w:t>
      </w:r>
      <w:r w:rsidR="00004D37" w:rsidRPr="001D11CD">
        <w:rPr>
          <w:lang w:val="bg-BG"/>
        </w:rPr>
        <w:t>април</w:t>
      </w:r>
      <w:r w:rsidRPr="001D11CD">
        <w:rPr>
          <w:lang w:val="bg-BG"/>
        </w:rPr>
        <w:t xml:space="preserve"> 2014</w:t>
      </w:r>
      <w:r w:rsidR="000A62E1" w:rsidRPr="001D11CD">
        <w:rPr>
          <w:lang w:val="bg-BG"/>
        </w:rPr>
        <w:t> г.</w:t>
      </w:r>
      <w:r w:rsidRPr="001D11CD">
        <w:rPr>
          <w:lang w:val="bg-BG"/>
        </w:rPr>
        <w:t xml:space="preserve">, </w:t>
      </w:r>
      <w:r w:rsidR="0044525D" w:rsidRPr="001D11CD">
        <w:rPr>
          <w:lang w:val="bg-BG"/>
        </w:rPr>
        <w:t>и</w:t>
      </w:r>
      <w:r w:rsidRPr="001D11CD">
        <w:rPr>
          <w:lang w:val="bg-BG"/>
        </w:rPr>
        <w:t xml:space="preserve"> </w:t>
      </w:r>
      <w:proofErr w:type="spellStart"/>
      <w:r w:rsidR="0044525D" w:rsidRPr="001D11CD">
        <w:rPr>
          <w:i/>
          <w:lang w:val="bg-BG"/>
        </w:rPr>
        <w:t>Карачони</w:t>
      </w:r>
      <w:proofErr w:type="spellEnd"/>
      <w:r w:rsidR="0044525D" w:rsidRPr="001D11CD">
        <w:rPr>
          <w:i/>
          <w:lang w:val="bg-BG"/>
        </w:rPr>
        <w:t xml:space="preserve"> и други</w:t>
      </w:r>
      <w:r w:rsidRPr="001D11CD">
        <w:rPr>
          <w:snapToGrid w:val="0"/>
          <w:lang w:val="bg-BG"/>
        </w:rPr>
        <w:t xml:space="preserve">, </w:t>
      </w:r>
      <w:r w:rsidR="00606C96" w:rsidRPr="001D11CD">
        <w:rPr>
          <w:snapToGrid w:val="0"/>
          <w:lang w:val="bg-BG"/>
        </w:rPr>
        <w:t>горецитирано</w:t>
      </w:r>
      <w:r w:rsidRPr="001D11CD">
        <w:rPr>
          <w:snapToGrid w:val="0"/>
          <w:lang w:val="bg-BG"/>
        </w:rPr>
        <w:t>, § 82</w:t>
      </w:r>
      <w:r w:rsidRPr="001D11CD">
        <w:rPr>
          <w:lang w:val="bg-BG"/>
        </w:rPr>
        <w:t>).</w:t>
      </w:r>
    </w:p>
    <w:p w14:paraId="12B6CC00" w14:textId="081D56A3"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40</w:t>
      </w:r>
      <w:r w:rsidRPr="001D11CD">
        <w:rPr>
          <w:lang w:val="bg-BG"/>
        </w:rPr>
        <w:fldChar w:fldCharType="end"/>
      </w:r>
      <w:r w:rsidRPr="001D11CD">
        <w:rPr>
          <w:lang w:val="bg-BG"/>
        </w:rPr>
        <w:t>.  </w:t>
      </w:r>
      <w:r w:rsidR="0044525D" w:rsidRPr="001D11CD">
        <w:rPr>
          <w:lang w:val="bg-BG"/>
        </w:rPr>
        <w:t>Следователно</w:t>
      </w:r>
      <w:r w:rsidRPr="001D11CD">
        <w:rPr>
          <w:lang w:val="bg-BG"/>
        </w:rPr>
        <w:t xml:space="preserve"> </w:t>
      </w:r>
      <w:r w:rsidR="007D33E1" w:rsidRPr="001D11CD">
        <w:rPr>
          <w:lang w:val="bg-BG"/>
        </w:rPr>
        <w:t>Съдът</w:t>
      </w:r>
      <w:r w:rsidRPr="001D11CD">
        <w:rPr>
          <w:lang w:val="bg-BG"/>
        </w:rPr>
        <w:t xml:space="preserve"> </w:t>
      </w:r>
      <w:r w:rsidR="00275A43" w:rsidRPr="001D11CD">
        <w:rPr>
          <w:lang w:val="bg-BG"/>
        </w:rPr>
        <w:t>отхвърля</w:t>
      </w:r>
      <w:r w:rsidRPr="001D11CD">
        <w:rPr>
          <w:lang w:val="bg-BG"/>
        </w:rPr>
        <w:t xml:space="preserve"> </w:t>
      </w:r>
      <w:r w:rsidR="00770570" w:rsidRPr="001D11CD">
        <w:rPr>
          <w:lang w:val="bg-BG"/>
        </w:rPr>
        <w:t>възражението</w:t>
      </w:r>
      <w:r w:rsidRPr="001D11CD">
        <w:rPr>
          <w:lang w:val="bg-BG"/>
        </w:rPr>
        <w:t xml:space="preserve"> </w:t>
      </w:r>
      <w:r w:rsidR="0044525D" w:rsidRPr="001D11CD">
        <w:rPr>
          <w:lang w:val="bg-BG"/>
        </w:rPr>
        <w:t>за</w:t>
      </w:r>
      <w:r w:rsidRPr="001D11CD">
        <w:rPr>
          <w:lang w:val="bg-BG"/>
        </w:rPr>
        <w:t xml:space="preserve"> </w:t>
      </w:r>
      <w:r w:rsidR="0044525D" w:rsidRPr="001D11CD">
        <w:rPr>
          <w:lang w:val="bg-BG"/>
        </w:rPr>
        <w:t>неизчерпване</w:t>
      </w:r>
      <w:r w:rsidRPr="001D11CD">
        <w:rPr>
          <w:lang w:val="bg-BG"/>
        </w:rPr>
        <w:t xml:space="preserve"> </w:t>
      </w:r>
      <w:r w:rsidR="0044525D" w:rsidRPr="001D11CD">
        <w:rPr>
          <w:lang w:val="bg-BG"/>
        </w:rPr>
        <w:t>на вътрешноправните средства за защита,</w:t>
      </w:r>
      <w:r w:rsidRPr="001D11CD">
        <w:rPr>
          <w:lang w:val="bg-BG"/>
        </w:rPr>
        <w:t xml:space="preserve"> </w:t>
      </w:r>
      <w:r w:rsidR="0044525D" w:rsidRPr="001D11CD">
        <w:rPr>
          <w:lang w:val="bg-BG"/>
        </w:rPr>
        <w:t xml:space="preserve">повдигнато от </w:t>
      </w:r>
      <w:r w:rsidR="00156A3C" w:rsidRPr="001D11CD">
        <w:rPr>
          <w:lang w:val="bg-BG"/>
        </w:rPr>
        <w:t>Правителство</w:t>
      </w:r>
      <w:r w:rsidR="0044525D" w:rsidRPr="001D11CD">
        <w:rPr>
          <w:lang w:val="bg-BG"/>
        </w:rPr>
        <w:t>то</w:t>
      </w:r>
      <w:r w:rsidRPr="001D11CD">
        <w:rPr>
          <w:lang w:val="bg-BG"/>
        </w:rPr>
        <w:t>.</w:t>
      </w:r>
    </w:p>
    <w:p w14:paraId="09BCD0FA" w14:textId="1BC62AF2"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41</w:t>
      </w:r>
      <w:r w:rsidRPr="001D11CD">
        <w:rPr>
          <w:lang w:val="bg-BG"/>
        </w:rPr>
        <w:fldChar w:fldCharType="end"/>
      </w:r>
      <w:r w:rsidRPr="001D11CD">
        <w:rPr>
          <w:lang w:val="bg-BG"/>
        </w:rPr>
        <w:t>.  </w:t>
      </w:r>
      <w:r w:rsidR="0044525D" w:rsidRPr="001D11CD">
        <w:rPr>
          <w:lang w:val="bg-BG"/>
        </w:rPr>
        <w:t xml:space="preserve">Като отбелязва от друга страна, че оплакването не е явно необосновано или недопустимо </w:t>
      </w:r>
      <w:r w:rsidR="00B03D88" w:rsidRPr="001D11CD">
        <w:rPr>
          <w:lang w:val="bg-BG"/>
        </w:rPr>
        <w:t>на друго основание по</w:t>
      </w:r>
      <w:r w:rsidR="0044525D" w:rsidRPr="001D11CD">
        <w:rPr>
          <w:lang w:val="bg-BG"/>
        </w:rPr>
        <w:t xml:space="preserve"> член</w:t>
      </w:r>
      <w:r w:rsidR="000A62E1" w:rsidRPr="001D11CD">
        <w:rPr>
          <w:lang w:val="bg-BG"/>
        </w:rPr>
        <w:t> </w:t>
      </w:r>
      <w:r w:rsidR="0044525D" w:rsidRPr="001D11CD">
        <w:rPr>
          <w:lang w:val="bg-BG"/>
        </w:rPr>
        <w:t>35 от Конвенцията, Съдът го обявява за допустимо.</w:t>
      </w:r>
    </w:p>
    <w:p w14:paraId="4AA66A74" w14:textId="77777777" w:rsidR="0044525D" w:rsidRPr="001D11CD" w:rsidRDefault="0044525D" w:rsidP="0044525D">
      <w:pPr>
        <w:pStyle w:val="JuHA"/>
        <w:rPr>
          <w:lang w:val="bg-BG"/>
        </w:rPr>
      </w:pPr>
      <w:r w:rsidRPr="001D11CD">
        <w:rPr>
          <w:lang w:val="bg-BG"/>
        </w:rPr>
        <w:t>По същество</w:t>
      </w:r>
    </w:p>
    <w:p w14:paraId="2BC6CB7A" w14:textId="2943D322" w:rsidR="000B760F" w:rsidRPr="001D11CD" w:rsidRDefault="0044525D" w:rsidP="000B760F">
      <w:pPr>
        <w:pStyle w:val="JuH1"/>
        <w:rPr>
          <w:lang w:val="bg-BG"/>
        </w:rPr>
      </w:pPr>
      <w:r w:rsidRPr="001D11CD">
        <w:rPr>
          <w:lang w:val="bg-BG"/>
        </w:rPr>
        <w:t>Тези</w:t>
      </w:r>
      <w:r w:rsidR="000B760F" w:rsidRPr="001D11CD">
        <w:rPr>
          <w:lang w:val="bg-BG"/>
        </w:rPr>
        <w:t xml:space="preserve"> </w:t>
      </w:r>
      <w:r w:rsidR="001A14B1" w:rsidRPr="001D11CD">
        <w:rPr>
          <w:lang w:val="bg-BG"/>
        </w:rPr>
        <w:t>на страните</w:t>
      </w:r>
    </w:p>
    <w:p w14:paraId="0FD8F523" w14:textId="338D3BAF" w:rsidR="00B03D88"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42</w:t>
      </w:r>
      <w:r w:rsidRPr="001D11CD">
        <w:rPr>
          <w:lang w:val="bg-BG"/>
        </w:rPr>
        <w:fldChar w:fldCharType="end"/>
      </w:r>
      <w:r w:rsidRPr="001D11CD">
        <w:rPr>
          <w:lang w:val="bg-BG"/>
        </w:rPr>
        <w:t>.  </w:t>
      </w:r>
      <w:r w:rsidR="000C7FEC" w:rsidRPr="001D11CD">
        <w:rPr>
          <w:lang w:val="bg-BG"/>
        </w:rPr>
        <w:t>Жалбоподателят</w:t>
      </w:r>
      <w:r w:rsidRPr="001D11CD">
        <w:rPr>
          <w:lang w:val="bg-BG"/>
        </w:rPr>
        <w:t xml:space="preserve"> </w:t>
      </w:r>
      <w:r w:rsidR="00B03D88" w:rsidRPr="001D11CD">
        <w:rPr>
          <w:lang w:val="bg-BG"/>
        </w:rPr>
        <w:t xml:space="preserve">счита своя случай за сравним с </w:t>
      </w:r>
      <w:r w:rsidRPr="001D11CD">
        <w:rPr>
          <w:lang w:val="bg-BG"/>
        </w:rPr>
        <w:t>дело</w:t>
      </w:r>
      <w:r w:rsidR="00B03D88" w:rsidRPr="001D11CD">
        <w:rPr>
          <w:lang w:val="bg-BG"/>
        </w:rPr>
        <w:t xml:space="preserve">то </w:t>
      </w:r>
      <w:proofErr w:type="spellStart"/>
      <w:r w:rsidR="00B03D88" w:rsidRPr="001D11CD">
        <w:rPr>
          <w:i/>
          <w:lang w:val="bg-BG"/>
        </w:rPr>
        <w:t>Шукран</w:t>
      </w:r>
      <w:proofErr w:type="spellEnd"/>
      <w:r w:rsidR="00B03D88" w:rsidRPr="001D11CD">
        <w:rPr>
          <w:i/>
          <w:lang w:val="bg-BG"/>
        </w:rPr>
        <w:t xml:space="preserve"> Айдън и други срещу Турция (</w:t>
      </w:r>
      <w:proofErr w:type="spellStart"/>
      <w:r w:rsidRPr="001D11CD">
        <w:rPr>
          <w:i/>
          <w:lang w:val="bg-BG"/>
        </w:rPr>
        <w:t>Şükran</w:t>
      </w:r>
      <w:proofErr w:type="spellEnd"/>
      <w:r w:rsidRPr="001D11CD">
        <w:rPr>
          <w:i/>
          <w:lang w:val="bg-BG"/>
        </w:rPr>
        <w:t xml:space="preserve"> </w:t>
      </w:r>
      <w:proofErr w:type="spellStart"/>
      <w:r w:rsidRPr="001D11CD">
        <w:rPr>
          <w:i/>
          <w:lang w:val="bg-BG"/>
        </w:rPr>
        <w:t>Aydın</w:t>
      </w:r>
      <w:proofErr w:type="spellEnd"/>
      <w:r w:rsidRPr="001D11CD">
        <w:rPr>
          <w:i/>
          <w:lang w:val="bg-BG"/>
        </w:rPr>
        <w:t xml:space="preserve"> </w:t>
      </w:r>
      <w:proofErr w:type="spellStart"/>
      <w:r w:rsidRPr="001D11CD">
        <w:rPr>
          <w:i/>
          <w:lang w:val="bg-BG"/>
        </w:rPr>
        <w:t>et</w:t>
      </w:r>
      <w:proofErr w:type="spellEnd"/>
      <w:r w:rsidRPr="001D11CD">
        <w:rPr>
          <w:i/>
          <w:lang w:val="bg-BG"/>
        </w:rPr>
        <w:t xml:space="preserve"> </w:t>
      </w:r>
      <w:proofErr w:type="spellStart"/>
      <w:r w:rsidRPr="001D11CD">
        <w:rPr>
          <w:i/>
          <w:lang w:val="bg-BG"/>
        </w:rPr>
        <w:t>autres</w:t>
      </w:r>
      <w:proofErr w:type="spellEnd"/>
      <w:r w:rsidRPr="001D11CD">
        <w:rPr>
          <w:i/>
          <w:lang w:val="bg-BG"/>
        </w:rPr>
        <w:t xml:space="preserve"> </w:t>
      </w:r>
      <w:r w:rsidR="00B03D88" w:rsidRPr="001D11CD">
        <w:rPr>
          <w:i/>
          <w:lang w:val="bg-BG"/>
        </w:rPr>
        <w:t xml:space="preserve">c. </w:t>
      </w:r>
      <w:proofErr w:type="spellStart"/>
      <w:r w:rsidR="00B03D88" w:rsidRPr="001D11CD">
        <w:rPr>
          <w:i/>
          <w:lang w:val="bg-BG"/>
        </w:rPr>
        <w:t>Turquie</w:t>
      </w:r>
      <w:proofErr w:type="spellEnd"/>
      <w:r w:rsidRPr="001D11CD">
        <w:rPr>
          <w:i/>
          <w:lang w:val="bg-BG"/>
        </w:rPr>
        <w:t xml:space="preserve"> </w:t>
      </w:r>
      <w:r w:rsidRPr="001D11CD">
        <w:rPr>
          <w:iCs/>
          <w:lang w:val="bg-BG"/>
        </w:rPr>
        <w:t>(</w:t>
      </w:r>
      <w:r w:rsidR="00B03D88" w:rsidRPr="001D11CD">
        <w:rPr>
          <w:lang w:val="bg-BG"/>
        </w:rPr>
        <w:t>№</w:t>
      </w:r>
      <w:r w:rsidR="000A62E1" w:rsidRPr="001D11CD">
        <w:rPr>
          <w:lang w:val="bg-BG"/>
        </w:rPr>
        <w:t> </w:t>
      </w:r>
      <w:r w:rsidRPr="001D11CD">
        <w:rPr>
          <w:lang w:val="bg-BG"/>
        </w:rPr>
        <w:t xml:space="preserve">49197/06 </w:t>
      </w:r>
      <w:r w:rsidR="00B03D88" w:rsidRPr="001D11CD">
        <w:rPr>
          <w:lang w:val="bg-BG"/>
        </w:rPr>
        <w:t>и</w:t>
      </w:r>
      <w:r w:rsidRPr="001D11CD">
        <w:rPr>
          <w:lang w:val="bg-BG"/>
        </w:rPr>
        <w:t xml:space="preserve"> 4 </w:t>
      </w:r>
      <w:r w:rsidR="00B03D88" w:rsidRPr="001D11CD">
        <w:rPr>
          <w:lang w:val="bg-BG"/>
        </w:rPr>
        <w:t>други</w:t>
      </w:r>
      <w:r w:rsidRPr="001D11CD">
        <w:rPr>
          <w:lang w:val="bg-BG"/>
        </w:rPr>
        <w:t xml:space="preserve">, 22 </w:t>
      </w:r>
      <w:r w:rsidR="00E10D18" w:rsidRPr="001D11CD">
        <w:rPr>
          <w:lang w:val="bg-BG"/>
        </w:rPr>
        <w:t>януари</w:t>
      </w:r>
      <w:r w:rsidRPr="001D11CD">
        <w:rPr>
          <w:lang w:val="bg-BG"/>
        </w:rPr>
        <w:t xml:space="preserve"> 2013</w:t>
      </w:r>
      <w:r w:rsidR="000A62E1" w:rsidRPr="001D11CD">
        <w:rPr>
          <w:lang w:val="bg-BG"/>
        </w:rPr>
        <w:t> г.</w:t>
      </w:r>
      <w:r w:rsidRPr="001D11CD">
        <w:rPr>
          <w:lang w:val="bg-BG"/>
        </w:rPr>
        <w:t xml:space="preserve">), </w:t>
      </w:r>
      <w:r w:rsidR="00B03D88" w:rsidRPr="001D11CD">
        <w:rPr>
          <w:lang w:val="bg-BG"/>
        </w:rPr>
        <w:t>в което</w:t>
      </w:r>
      <w:r w:rsidRPr="001D11CD">
        <w:rPr>
          <w:lang w:val="bg-BG"/>
        </w:rPr>
        <w:t xml:space="preserve"> </w:t>
      </w:r>
      <w:r w:rsidR="007D33E1" w:rsidRPr="001D11CD">
        <w:rPr>
          <w:lang w:val="bg-BG"/>
        </w:rPr>
        <w:t>Съдът</w:t>
      </w:r>
      <w:r w:rsidRPr="001D11CD">
        <w:rPr>
          <w:lang w:val="bg-BG"/>
        </w:rPr>
        <w:t xml:space="preserve"> </w:t>
      </w:r>
      <w:r w:rsidR="00B03D88" w:rsidRPr="001D11CD">
        <w:rPr>
          <w:lang w:val="bg-BG"/>
        </w:rPr>
        <w:t>установява</w:t>
      </w:r>
      <w:r w:rsidRPr="001D11CD">
        <w:rPr>
          <w:lang w:val="bg-BG"/>
        </w:rPr>
        <w:t xml:space="preserve"> </w:t>
      </w:r>
      <w:r w:rsidR="00D177F2" w:rsidRPr="001D11CD">
        <w:rPr>
          <w:lang w:val="bg-BG"/>
        </w:rPr>
        <w:t>нарушение на</w:t>
      </w:r>
      <w:r w:rsidRPr="001D11CD">
        <w:rPr>
          <w:lang w:val="bg-BG"/>
        </w:rPr>
        <w:t xml:space="preserve"> </w:t>
      </w:r>
      <w:r w:rsidR="001A14B1" w:rsidRPr="001D11CD">
        <w:rPr>
          <w:lang w:val="bg-BG"/>
        </w:rPr>
        <w:t>член</w:t>
      </w:r>
      <w:r w:rsidRPr="001D11CD">
        <w:rPr>
          <w:lang w:val="bg-BG"/>
        </w:rPr>
        <w:t xml:space="preserve"> 10 </w:t>
      </w:r>
      <w:r w:rsidR="00B03D88" w:rsidRPr="001D11CD">
        <w:rPr>
          <w:lang w:val="bg-BG"/>
        </w:rPr>
        <w:t xml:space="preserve">поради наказателни санкции, наложени на </w:t>
      </w:r>
      <w:r w:rsidR="009913FC" w:rsidRPr="001D11CD">
        <w:rPr>
          <w:lang w:val="bg-BG"/>
        </w:rPr>
        <w:t>лицето</w:t>
      </w:r>
      <w:r w:rsidR="00B03D88" w:rsidRPr="001D11CD">
        <w:rPr>
          <w:lang w:val="bg-BG"/>
        </w:rPr>
        <w:t xml:space="preserve"> въз основа на разпоредба от действащото тогава турско законодателство, съгласно която използването на какъвто и да е език, различен от турския</w:t>
      </w:r>
      <w:r w:rsidR="00DF0C2B" w:rsidRPr="001D11CD">
        <w:rPr>
          <w:lang w:val="bg-BG"/>
        </w:rPr>
        <w:t>,</w:t>
      </w:r>
      <w:r w:rsidR="00B03D88" w:rsidRPr="001D11CD">
        <w:rPr>
          <w:lang w:val="bg-BG"/>
        </w:rPr>
        <w:t xml:space="preserve"> по време на предизборна кампания е забранено. Той приканва Съд</w:t>
      </w:r>
      <w:r w:rsidR="00DF0C2B" w:rsidRPr="001D11CD">
        <w:rPr>
          <w:lang w:val="bg-BG"/>
        </w:rPr>
        <w:t>а</w:t>
      </w:r>
      <w:r w:rsidR="00B03D88" w:rsidRPr="001D11CD">
        <w:rPr>
          <w:lang w:val="bg-BG"/>
        </w:rPr>
        <w:t xml:space="preserve"> да приложи към настоящия случай подхода, възприе</w:t>
      </w:r>
      <w:r w:rsidR="00DB623E" w:rsidRPr="001D11CD">
        <w:rPr>
          <w:lang w:val="bg-BG"/>
        </w:rPr>
        <w:t>т по</w:t>
      </w:r>
      <w:r w:rsidR="00B03D88" w:rsidRPr="001D11CD">
        <w:rPr>
          <w:lang w:val="bg-BG"/>
        </w:rPr>
        <w:t xml:space="preserve"> </w:t>
      </w:r>
      <w:r w:rsidR="00DF0C2B" w:rsidRPr="001D11CD">
        <w:rPr>
          <w:lang w:val="bg-BG"/>
        </w:rPr>
        <w:t>въпросното</w:t>
      </w:r>
      <w:r w:rsidR="00B03D88" w:rsidRPr="001D11CD">
        <w:rPr>
          <w:lang w:val="bg-BG"/>
        </w:rPr>
        <w:t xml:space="preserve"> дело. </w:t>
      </w:r>
      <w:r w:rsidR="00DB623E" w:rsidRPr="001D11CD">
        <w:rPr>
          <w:lang w:val="bg-BG"/>
        </w:rPr>
        <w:t>О</w:t>
      </w:r>
      <w:r w:rsidR="00B03D88" w:rsidRPr="001D11CD">
        <w:rPr>
          <w:lang w:val="bg-BG"/>
        </w:rPr>
        <w:t xml:space="preserve">бяснява, че правото му на свобода на изразяването на мнение е било предмет на намеса, </w:t>
      </w:r>
      <w:r w:rsidR="00DB623E" w:rsidRPr="001D11CD">
        <w:rPr>
          <w:lang w:val="bg-BG"/>
        </w:rPr>
        <w:t>очевидно</w:t>
      </w:r>
      <w:r w:rsidR="00B03D88" w:rsidRPr="001D11CD">
        <w:rPr>
          <w:lang w:val="bg-BG"/>
        </w:rPr>
        <w:t xml:space="preserve"> предвидена от закона, но която според него не може да се счита за преследваща каквато и да е </w:t>
      </w:r>
      <w:r w:rsidR="00DB623E" w:rsidRPr="001D11CD">
        <w:rPr>
          <w:lang w:val="bg-BG"/>
        </w:rPr>
        <w:t>легитимна</w:t>
      </w:r>
      <w:r w:rsidR="00B03D88" w:rsidRPr="001D11CD">
        <w:rPr>
          <w:lang w:val="bg-BG"/>
        </w:rPr>
        <w:t xml:space="preserve"> цел. Той твърди, че изразяване</w:t>
      </w:r>
      <w:r w:rsidR="00DB623E" w:rsidRPr="001D11CD">
        <w:rPr>
          <w:lang w:val="bg-BG"/>
        </w:rPr>
        <w:t>то</w:t>
      </w:r>
      <w:r w:rsidR="00B03D88" w:rsidRPr="001D11CD">
        <w:rPr>
          <w:lang w:val="bg-BG"/>
        </w:rPr>
        <w:t xml:space="preserve"> на език, различен от официалния, не може сам</w:t>
      </w:r>
      <w:r w:rsidR="00DB623E" w:rsidRPr="001D11CD">
        <w:rPr>
          <w:lang w:val="bg-BG"/>
        </w:rPr>
        <w:t>о</w:t>
      </w:r>
      <w:r w:rsidR="00B03D88" w:rsidRPr="001D11CD">
        <w:rPr>
          <w:lang w:val="bg-BG"/>
        </w:rPr>
        <w:t xml:space="preserve"> по себе си да представлява нарушение на националната сигурност или териториалната цялост, ако самото съдържание на </w:t>
      </w:r>
      <w:r w:rsidR="00DF0C2B" w:rsidRPr="001D11CD">
        <w:rPr>
          <w:lang w:val="bg-BG"/>
        </w:rPr>
        <w:t>казаното</w:t>
      </w:r>
      <w:r w:rsidR="00B03D88" w:rsidRPr="001D11CD">
        <w:rPr>
          <w:lang w:val="bg-BG"/>
        </w:rPr>
        <w:t xml:space="preserve"> не </w:t>
      </w:r>
      <w:r w:rsidR="00DB623E" w:rsidRPr="001D11CD">
        <w:rPr>
          <w:lang w:val="bg-BG"/>
        </w:rPr>
        <w:t>съдържа</w:t>
      </w:r>
      <w:r w:rsidR="00B03D88" w:rsidRPr="001D11CD">
        <w:rPr>
          <w:lang w:val="bg-BG"/>
        </w:rPr>
        <w:t xml:space="preserve"> заплаха за тези интереси. </w:t>
      </w:r>
      <w:r w:rsidR="00DB623E" w:rsidRPr="001D11CD">
        <w:rPr>
          <w:lang w:val="bg-BG"/>
        </w:rPr>
        <w:t>С</w:t>
      </w:r>
      <w:r w:rsidR="000A62E1" w:rsidRPr="001D11CD">
        <w:rPr>
          <w:lang w:val="bg-BG"/>
        </w:rPr>
        <w:t>чита, че член 133, алинея </w:t>
      </w:r>
      <w:r w:rsidR="00B03D88" w:rsidRPr="001D11CD">
        <w:rPr>
          <w:lang w:val="bg-BG"/>
        </w:rPr>
        <w:t xml:space="preserve">2 от Изборния кодекс, </w:t>
      </w:r>
      <w:r w:rsidR="00DB623E" w:rsidRPr="001D11CD">
        <w:rPr>
          <w:lang w:val="bg-BG"/>
        </w:rPr>
        <w:t xml:space="preserve">така </w:t>
      </w:r>
      <w:r w:rsidR="00B03D88" w:rsidRPr="001D11CD">
        <w:rPr>
          <w:lang w:val="bg-BG"/>
        </w:rPr>
        <w:t xml:space="preserve">както е формулиран, постановява абсолютна забрана за </w:t>
      </w:r>
      <w:r w:rsidR="00DB623E" w:rsidRPr="001D11CD">
        <w:rPr>
          <w:lang w:val="bg-BG"/>
        </w:rPr>
        <w:t>изразяване</w:t>
      </w:r>
      <w:r w:rsidR="00B03D88" w:rsidRPr="001D11CD">
        <w:rPr>
          <w:lang w:val="bg-BG"/>
        </w:rPr>
        <w:t xml:space="preserve"> на език, различен от български</w:t>
      </w:r>
      <w:r w:rsidR="00DB623E" w:rsidRPr="001D11CD">
        <w:rPr>
          <w:lang w:val="bg-BG"/>
        </w:rPr>
        <w:t>я</w:t>
      </w:r>
      <w:r w:rsidR="00DF0C2B" w:rsidRPr="001D11CD">
        <w:rPr>
          <w:lang w:val="bg-BG"/>
        </w:rPr>
        <w:t>,</w:t>
      </w:r>
      <w:r w:rsidR="00B03D88" w:rsidRPr="001D11CD">
        <w:rPr>
          <w:lang w:val="bg-BG"/>
        </w:rPr>
        <w:t xml:space="preserve"> по време на предизборна кампания, което </w:t>
      </w:r>
      <w:r w:rsidR="002558BA" w:rsidRPr="001D11CD">
        <w:rPr>
          <w:lang w:val="bg-BG"/>
        </w:rPr>
        <w:t>свежда</w:t>
      </w:r>
      <w:r w:rsidR="00B03D88" w:rsidRPr="001D11CD">
        <w:rPr>
          <w:lang w:val="bg-BG"/>
        </w:rPr>
        <w:t xml:space="preserve"> съдебния контрол, </w:t>
      </w:r>
      <w:r w:rsidR="00DB623E" w:rsidRPr="001D11CD">
        <w:rPr>
          <w:lang w:val="bg-BG"/>
        </w:rPr>
        <w:t xml:space="preserve">на </w:t>
      </w:r>
      <w:r w:rsidR="00B03D88" w:rsidRPr="001D11CD">
        <w:rPr>
          <w:lang w:val="bg-BG"/>
        </w:rPr>
        <w:t>ко</w:t>
      </w:r>
      <w:r w:rsidR="00D70A2E" w:rsidRPr="001D11CD">
        <w:rPr>
          <w:lang w:val="bg-BG"/>
        </w:rPr>
        <w:t>й</w:t>
      </w:r>
      <w:r w:rsidR="00DB623E" w:rsidRPr="001D11CD">
        <w:rPr>
          <w:lang w:val="bg-BG"/>
        </w:rPr>
        <w:t>то</w:t>
      </w:r>
      <w:r w:rsidR="00B03D88" w:rsidRPr="001D11CD">
        <w:rPr>
          <w:lang w:val="bg-BG"/>
        </w:rPr>
        <w:t xml:space="preserve"> </w:t>
      </w:r>
      <w:r w:rsidR="00DB623E" w:rsidRPr="001D11CD">
        <w:rPr>
          <w:lang w:val="bg-BG"/>
        </w:rPr>
        <w:t xml:space="preserve">подлежи </w:t>
      </w:r>
      <w:r w:rsidR="00F542C7">
        <w:rPr>
          <w:lang w:val="bg-BG"/>
        </w:rPr>
        <w:t>постановлението</w:t>
      </w:r>
      <w:r w:rsidR="00DB623E" w:rsidRPr="001D11CD">
        <w:rPr>
          <w:lang w:val="bg-BG"/>
        </w:rPr>
        <w:t xml:space="preserve">, </w:t>
      </w:r>
      <w:r w:rsidR="00F542C7">
        <w:rPr>
          <w:lang w:val="bg-BG"/>
        </w:rPr>
        <w:t>издадено</w:t>
      </w:r>
      <w:r w:rsidR="00F542C7" w:rsidRPr="001D11CD">
        <w:rPr>
          <w:lang w:val="bg-BG"/>
        </w:rPr>
        <w:t xml:space="preserve"> </w:t>
      </w:r>
      <w:r w:rsidR="00D70A2E" w:rsidRPr="001D11CD">
        <w:rPr>
          <w:lang w:val="bg-BG"/>
        </w:rPr>
        <w:t>с</w:t>
      </w:r>
      <w:r w:rsidR="00DB623E" w:rsidRPr="001D11CD">
        <w:rPr>
          <w:lang w:val="bg-BG"/>
        </w:rPr>
        <w:t xml:space="preserve">прямо </w:t>
      </w:r>
      <w:r w:rsidR="00B03D88" w:rsidRPr="001D11CD">
        <w:rPr>
          <w:lang w:val="bg-BG"/>
        </w:rPr>
        <w:t xml:space="preserve">него по силата на </w:t>
      </w:r>
      <w:r w:rsidR="00DB623E" w:rsidRPr="001D11CD">
        <w:rPr>
          <w:lang w:val="bg-BG"/>
        </w:rPr>
        <w:t>въпросната</w:t>
      </w:r>
      <w:r w:rsidR="00B03D88" w:rsidRPr="001D11CD">
        <w:rPr>
          <w:lang w:val="bg-BG"/>
        </w:rPr>
        <w:t xml:space="preserve"> разпоредба</w:t>
      </w:r>
      <w:r w:rsidR="00D70A2E" w:rsidRPr="001D11CD">
        <w:rPr>
          <w:lang w:val="bg-BG"/>
        </w:rPr>
        <w:t>,</w:t>
      </w:r>
      <w:r w:rsidR="00B03D88" w:rsidRPr="001D11CD">
        <w:rPr>
          <w:lang w:val="bg-BG"/>
        </w:rPr>
        <w:t xml:space="preserve"> единствено </w:t>
      </w:r>
      <w:r w:rsidR="00D70A2E" w:rsidRPr="001D11CD">
        <w:rPr>
          <w:lang w:val="bg-BG"/>
        </w:rPr>
        <w:t>до</w:t>
      </w:r>
      <w:r w:rsidR="00B03D88" w:rsidRPr="001D11CD">
        <w:rPr>
          <w:lang w:val="bg-BG"/>
        </w:rPr>
        <w:t xml:space="preserve"> въпросите дали </w:t>
      </w:r>
      <w:r w:rsidR="00D70A2E" w:rsidRPr="001D11CD">
        <w:rPr>
          <w:lang w:val="bg-BG"/>
        </w:rPr>
        <w:t>процесните думи</w:t>
      </w:r>
      <w:r w:rsidR="00B03D88" w:rsidRPr="001D11CD">
        <w:rPr>
          <w:lang w:val="bg-BG"/>
        </w:rPr>
        <w:t xml:space="preserve"> са </w:t>
      </w:r>
      <w:r w:rsidR="00D70A2E" w:rsidRPr="001D11CD">
        <w:rPr>
          <w:lang w:val="bg-BG"/>
        </w:rPr>
        <w:t>произнесе</w:t>
      </w:r>
      <w:r w:rsidR="00B03D88" w:rsidRPr="001D11CD">
        <w:rPr>
          <w:lang w:val="bg-BG"/>
        </w:rPr>
        <w:t xml:space="preserve">ни в контекста на „предизборна кампания” и законосъобразно ли е </w:t>
      </w:r>
      <w:r w:rsidR="00D70A2E" w:rsidRPr="001D11CD">
        <w:rPr>
          <w:lang w:val="bg-BG"/>
        </w:rPr>
        <w:t xml:space="preserve">производството по </w:t>
      </w:r>
      <w:r w:rsidR="00B03D88" w:rsidRPr="001D11CD">
        <w:rPr>
          <w:lang w:val="bg-BG"/>
        </w:rPr>
        <w:t xml:space="preserve">налагане на </w:t>
      </w:r>
      <w:r w:rsidR="00FC639A" w:rsidRPr="001D11CD">
        <w:rPr>
          <w:lang w:val="bg-BG"/>
        </w:rPr>
        <w:t>административно наказание</w:t>
      </w:r>
      <w:r w:rsidR="00B03D88" w:rsidRPr="001D11CD">
        <w:rPr>
          <w:lang w:val="bg-BG"/>
        </w:rPr>
        <w:t xml:space="preserve">. Той счита, че тези </w:t>
      </w:r>
      <w:r w:rsidR="00D70A2E" w:rsidRPr="001D11CD">
        <w:rPr>
          <w:lang w:val="bg-BG"/>
        </w:rPr>
        <w:t>условия</w:t>
      </w:r>
      <w:r w:rsidR="00B03D88" w:rsidRPr="001D11CD">
        <w:rPr>
          <w:lang w:val="bg-BG"/>
        </w:rPr>
        <w:t xml:space="preserve"> </w:t>
      </w:r>
      <w:r w:rsidR="00D70A2E" w:rsidRPr="001D11CD">
        <w:rPr>
          <w:lang w:val="bg-BG"/>
        </w:rPr>
        <w:t xml:space="preserve">изправят </w:t>
      </w:r>
      <w:r w:rsidR="00B03D88" w:rsidRPr="001D11CD">
        <w:rPr>
          <w:lang w:val="bg-BG"/>
        </w:rPr>
        <w:t xml:space="preserve">българските съдилища </w:t>
      </w:r>
      <w:r w:rsidR="00D70A2E" w:rsidRPr="001D11CD">
        <w:rPr>
          <w:lang w:val="bg-BG"/>
        </w:rPr>
        <w:t xml:space="preserve">пред </w:t>
      </w:r>
      <w:r w:rsidR="00B03D88" w:rsidRPr="001D11CD">
        <w:rPr>
          <w:lang w:val="bg-BG"/>
        </w:rPr>
        <w:t>невъзможно</w:t>
      </w:r>
      <w:r w:rsidR="00D70A2E" w:rsidRPr="001D11CD">
        <w:rPr>
          <w:lang w:val="bg-BG"/>
        </w:rPr>
        <w:t>стта</w:t>
      </w:r>
      <w:r w:rsidR="000A62E1" w:rsidRPr="001D11CD">
        <w:rPr>
          <w:lang w:val="bg-BG"/>
        </w:rPr>
        <w:t xml:space="preserve"> —</w:t>
      </w:r>
      <w:r w:rsidR="00B03D88" w:rsidRPr="001D11CD">
        <w:rPr>
          <w:lang w:val="bg-BG"/>
        </w:rPr>
        <w:t xml:space="preserve"> както</w:t>
      </w:r>
      <w:r w:rsidR="00D70A2E" w:rsidRPr="001D11CD">
        <w:rPr>
          <w:lang w:val="bg-BG"/>
        </w:rPr>
        <w:t xml:space="preserve"> според него</w:t>
      </w:r>
      <w:r w:rsidR="00B03D88" w:rsidRPr="001D11CD">
        <w:rPr>
          <w:lang w:val="bg-BG"/>
        </w:rPr>
        <w:t xml:space="preserve"> </w:t>
      </w:r>
      <w:r w:rsidR="00D70A2E" w:rsidRPr="001D11CD">
        <w:rPr>
          <w:lang w:val="bg-BG"/>
        </w:rPr>
        <w:t xml:space="preserve">това </w:t>
      </w:r>
      <w:r w:rsidR="00B03D88" w:rsidRPr="001D11CD">
        <w:rPr>
          <w:lang w:val="bg-BG"/>
        </w:rPr>
        <w:t>се вижда от национална</w:t>
      </w:r>
      <w:r w:rsidR="000A62E1" w:rsidRPr="001D11CD">
        <w:rPr>
          <w:lang w:val="bg-BG"/>
        </w:rPr>
        <w:t>та съдебна практика по въпроса —</w:t>
      </w:r>
      <w:r w:rsidR="00B03D88" w:rsidRPr="001D11CD">
        <w:rPr>
          <w:lang w:val="bg-BG"/>
        </w:rPr>
        <w:t xml:space="preserve"> да </w:t>
      </w:r>
      <w:r w:rsidR="00D70A2E" w:rsidRPr="001D11CD">
        <w:rPr>
          <w:lang w:val="bg-BG"/>
        </w:rPr>
        <w:t>пре</w:t>
      </w:r>
      <w:r w:rsidR="00B03D88" w:rsidRPr="001D11CD">
        <w:rPr>
          <w:lang w:val="bg-BG"/>
        </w:rPr>
        <w:t xml:space="preserve">ценят необходимостта и пропорционалността на намесата, произтичаща от оспорената разпоредба. Той посочва, че националните съдилища, обвързани според него от абсолютната забрана, </w:t>
      </w:r>
      <w:r w:rsidR="002558BA" w:rsidRPr="001D11CD">
        <w:rPr>
          <w:lang w:val="bg-BG"/>
        </w:rPr>
        <w:t>съдържаща се</w:t>
      </w:r>
      <w:r w:rsidR="00B03D88" w:rsidRPr="001D11CD">
        <w:rPr>
          <w:lang w:val="bg-BG"/>
        </w:rPr>
        <w:t xml:space="preserve"> </w:t>
      </w:r>
      <w:r w:rsidR="00814F58" w:rsidRPr="001D11CD">
        <w:rPr>
          <w:lang w:val="bg-BG"/>
        </w:rPr>
        <w:t>в</w:t>
      </w:r>
      <w:r w:rsidR="00B03D88" w:rsidRPr="001D11CD">
        <w:rPr>
          <w:lang w:val="bg-BG"/>
        </w:rPr>
        <w:t xml:space="preserve"> разпоредба</w:t>
      </w:r>
      <w:r w:rsidR="00814F58" w:rsidRPr="001D11CD">
        <w:rPr>
          <w:lang w:val="bg-BG"/>
        </w:rPr>
        <w:t>та</w:t>
      </w:r>
      <w:r w:rsidR="00B03D88" w:rsidRPr="001D11CD">
        <w:rPr>
          <w:lang w:val="bg-BG"/>
        </w:rPr>
        <w:t xml:space="preserve">, не са се ангажирали по делото с каквато и да е проверка на съдържанието на </w:t>
      </w:r>
      <w:r w:rsidR="00814F58" w:rsidRPr="001D11CD">
        <w:rPr>
          <w:lang w:val="bg-BG"/>
        </w:rPr>
        <w:t>думите</w:t>
      </w:r>
      <w:r w:rsidR="00B03D88" w:rsidRPr="001D11CD">
        <w:rPr>
          <w:lang w:val="bg-BG"/>
        </w:rPr>
        <w:t xml:space="preserve">, </w:t>
      </w:r>
      <w:r w:rsidR="00C84235" w:rsidRPr="001D11CD">
        <w:rPr>
          <w:lang w:val="bg-BG"/>
        </w:rPr>
        <w:t>произнесени</w:t>
      </w:r>
      <w:r w:rsidR="00814F58" w:rsidRPr="001D11CD">
        <w:rPr>
          <w:lang w:val="bg-BG"/>
        </w:rPr>
        <w:t xml:space="preserve"> от него</w:t>
      </w:r>
      <w:r w:rsidR="00B03D88" w:rsidRPr="001D11CD">
        <w:rPr>
          <w:lang w:val="bg-BG"/>
        </w:rPr>
        <w:t xml:space="preserve"> на въпросн</w:t>
      </w:r>
      <w:r w:rsidR="00814F58" w:rsidRPr="001D11CD">
        <w:rPr>
          <w:lang w:val="bg-BG"/>
        </w:rPr>
        <w:t>ия митинг</w:t>
      </w:r>
      <w:r w:rsidR="00B03D88" w:rsidRPr="001D11CD">
        <w:rPr>
          <w:lang w:val="bg-BG"/>
        </w:rPr>
        <w:t xml:space="preserve">, и че не са взели предвид факта, че турският е </w:t>
      </w:r>
      <w:r w:rsidR="00814F58" w:rsidRPr="001D11CD">
        <w:rPr>
          <w:lang w:val="bg-BG"/>
        </w:rPr>
        <w:t xml:space="preserve">бил </w:t>
      </w:r>
      <w:r w:rsidR="00B03D88" w:rsidRPr="001D11CD">
        <w:rPr>
          <w:lang w:val="bg-BG"/>
        </w:rPr>
        <w:t xml:space="preserve">езикът, говорен от много хора </w:t>
      </w:r>
      <w:r w:rsidR="00C84235" w:rsidRPr="001D11CD">
        <w:rPr>
          <w:lang w:val="bg-BG"/>
        </w:rPr>
        <w:t>сред</w:t>
      </w:r>
      <w:r w:rsidR="00B03D88" w:rsidRPr="001D11CD">
        <w:rPr>
          <w:lang w:val="bg-BG"/>
        </w:rPr>
        <w:t xml:space="preserve"> </w:t>
      </w:r>
      <w:r w:rsidR="0087491D" w:rsidRPr="001D11CD">
        <w:rPr>
          <w:lang w:val="bg-BG"/>
        </w:rPr>
        <w:t>присъстващите</w:t>
      </w:r>
      <w:r w:rsidR="00B03D88" w:rsidRPr="001D11CD">
        <w:rPr>
          <w:lang w:val="bg-BG"/>
        </w:rPr>
        <w:t xml:space="preserve">, нито </w:t>
      </w:r>
      <w:r w:rsidR="00814F58" w:rsidRPr="001D11CD">
        <w:rPr>
          <w:lang w:val="bg-BG"/>
        </w:rPr>
        <w:t>обстоятелството</w:t>
      </w:r>
      <w:r w:rsidR="00B03D88" w:rsidRPr="001D11CD">
        <w:rPr>
          <w:lang w:val="bg-BG"/>
        </w:rPr>
        <w:t xml:space="preserve">, че турският </w:t>
      </w:r>
      <w:r w:rsidR="00814F58" w:rsidRPr="001D11CD">
        <w:rPr>
          <w:lang w:val="bg-BG"/>
        </w:rPr>
        <w:t>е бил</w:t>
      </w:r>
      <w:r w:rsidR="00B03D88" w:rsidRPr="001D11CD">
        <w:rPr>
          <w:lang w:val="bg-BG"/>
        </w:rPr>
        <w:t xml:space="preserve"> както за тези хора, така и за него самия, </w:t>
      </w:r>
      <w:r w:rsidR="00814F58" w:rsidRPr="001D11CD">
        <w:rPr>
          <w:lang w:val="bg-BG"/>
        </w:rPr>
        <w:t xml:space="preserve">едновременно </w:t>
      </w:r>
      <w:r w:rsidR="00C84235" w:rsidRPr="001D11CD">
        <w:rPr>
          <w:lang w:val="bg-BG"/>
        </w:rPr>
        <w:t>майчин</w:t>
      </w:r>
      <w:r w:rsidR="002558BA" w:rsidRPr="001D11CD">
        <w:rPr>
          <w:lang w:val="bg-BG"/>
        </w:rPr>
        <w:t xml:space="preserve"> </w:t>
      </w:r>
      <w:r w:rsidR="00C84235" w:rsidRPr="001D11CD">
        <w:rPr>
          <w:lang w:val="bg-BG"/>
        </w:rPr>
        <w:t xml:space="preserve">и социализиращ </w:t>
      </w:r>
      <w:r w:rsidR="00B03D88" w:rsidRPr="001D11CD">
        <w:rPr>
          <w:lang w:val="bg-BG"/>
        </w:rPr>
        <w:t>език. Ж</w:t>
      </w:r>
      <w:r w:rsidR="00366617" w:rsidRPr="001D11CD">
        <w:rPr>
          <w:lang w:val="bg-BG"/>
        </w:rPr>
        <w:t>а</w:t>
      </w:r>
      <w:r w:rsidR="00B03D88" w:rsidRPr="001D11CD">
        <w:rPr>
          <w:lang w:val="bg-BG"/>
        </w:rPr>
        <w:t>лбоподателят до</w:t>
      </w:r>
      <w:r w:rsidR="00366617" w:rsidRPr="001D11CD">
        <w:rPr>
          <w:lang w:val="bg-BG"/>
        </w:rPr>
        <w:t>бавя</w:t>
      </w:r>
      <w:r w:rsidR="00B03D88" w:rsidRPr="001D11CD">
        <w:rPr>
          <w:lang w:val="bg-BG"/>
        </w:rPr>
        <w:t xml:space="preserve">, че съдилищата не са взели предвид </w:t>
      </w:r>
      <w:r w:rsidR="00366617" w:rsidRPr="001D11CD">
        <w:rPr>
          <w:lang w:val="bg-BG"/>
        </w:rPr>
        <w:t>довода му</w:t>
      </w:r>
      <w:r w:rsidR="00B03D88" w:rsidRPr="001D11CD">
        <w:rPr>
          <w:lang w:val="bg-BG"/>
        </w:rPr>
        <w:t xml:space="preserve">, че </w:t>
      </w:r>
      <w:r w:rsidR="00366617" w:rsidRPr="001D11CD">
        <w:rPr>
          <w:lang w:val="bg-BG"/>
        </w:rPr>
        <w:t>н</w:t>
      </w:r>
      <w:r w:rsidR="00B03D88" w:rsidRPr="001D11CD">
        <w:rPr>
          <w:lang w:val="bg-BG"/>
        </w:rPr>
        <w:t xml:space="preserve">а въпросната среща </w:t>
      </w:r>
      <w:r w:rsidR="00366617" w:rsidRPr="001D11CD">
        <w:rPr>
          <w:lang w:val="bg-BG"/>
        </w:rPr>
        <w:t xml:space="preserve">са присъствали </w:t>
      </w:r>
      <w:r w:rsidR="00B03D88" w:rsidRPr="001D11CD">
        <w:rPr>
          <w:lang w:val="bg-BG"/>
        </w:rPr>
        <w:t xml:space="preserve">много възрастни хора, </w:t>
      </w:r>
      <w:r w:rsidR="00366617" w:rsidRPr="001D11CD">
        <w:rPr>
          <w:lang w:val="bg-BG"/>
        </w:rPr>
        <w:t xml:space="preserve">говорещи само </w:t>
      </w:r>
      <w:r w:rsidR="00B03D88" w:rsidRPr="001D11CD">
        <w:rPr>
          <w:lang w:val="bg-BG"/>
        </w:rPr>
        <w:t xml:space="preserve">турски. </w:t>
      </w:r>
      <w:r w:rsidR="00330F3F" w:rsidRPr="001D11CD">
        <w:rPr>
          <w:lang w:val="bg-BG"/>
        </w:rPr>
        <w:t>Според него</w:t>
      </w:r>
      <w:r w:rsidR="00B03D88" w:rsidRPr="001D11CD">
        <w:rPr>
          <w:lang w:val="bg-BG"/>
        </w:rPr>
        <w:t xml:space="preserve"> от горното следва, че </w:t>
      </w:r>
      <w:r w:rsidR="00330F3F" w:rsidRPr="001D11CD">
        <w:rPr>
          <w:lang w:val="bg-BG"/>
        </w:rPr>
        <w:t xml:space="preserve">така наложеното </w:t>
      </w:r>
      <w:r w:rsidR="00B03D88" w:rsidRPr="001D11CD">
        <w:rPr>
          <w:lang w:val="bg-BG"/>
        </w:rPr>
        <w:t>ограничение</w:t>
      </w:r>
      <w:r w:rsidR="00330F3F" w:rsidRPr="001D11CD">
        <w:rPr>
          <w:lang w:val="bg-BG"/>
        </w:rPr>
        <w:t xml:space="preserve"> </w:t>
      </w:r>
      <w:r w:rsidR="00B03D88" w:rsidRPr="001D11CD">
        <w:rPr>
          <w:lang w:val="bg-BG"/>
        </w:rPr>
        <w:t xml:space="preserve">на </w:t>
      </w:r>
      <w:r w:rsidR="00330F3F" w:rsidRPr="001D11CD">
        <w:rPr>
          <w:lang w:val="bg-BG"/>
        </w:rPr>
        <w:t>с</w:t>
      </w:r>
      <w:r w:rsidR="00B03D88" w:rsidRPr="001D11CD">
        <w:rPr>
          <w:lang w:val="bg-BG"/>
        </w:rPr>
        <w:t>вобода</w:t>
      </w:r>
      <w:r w:rsidR="00330F3F" w:rsidRPr="001D11CD">
        <w:rPr>
          <w:lang w:val="bg-BG"/>
        </w:rPr>
        <w:t>та му</w:t>
      </w:r>
      <w:r w:rsidR="00B03D88" w:rsidRPr="001D11CD">
        <w:rPr>
          <w:lang w:val="bg-BG"/>
        </w:rPr>
        <w:t xml:space="preserve"> </w:t>
      </w:r>
      <w:r w:rsidR="00330F3F" w:rsidRPr="001D11CD">
        <w:rPr>
          <w:lang w:val="bg-BG"/>
        </w:rPr>
        <w:t>на</w:t>
      </w:r>
      <w:r w:rsidR="00B03D88" w:rsidRPr="001D11CD">
        <w:rPr>
          <w:lang w:val="bg-BG"/>
        </w:rPr>
        <w:t xml:space="preserve"> изразяване на мнение с решение, </w:t>
      </w:r>
      <w:r w:rsidR="00330F3F" w:rsidRPr="001D11CD">
        <w:rPr>
          <w:lang w:val="bg-BG"/>
        </w:rPr>
        <w:t>което</w:t>
      </w:r>
      <w:r w:rsidR="00F542C7">
        <w:rPr>
          <w:lang w:val="bg-BG"/>
        </w:rPr>
        <w:t>,</w:t>
      </w:r>
      <w:r w:rsidR="00330F3F" w:rsidRPr="001D11CD">
        <w:rPr>
          <w:lang w:val="bg-BG"/>
        </w:rPr>
        <w:t xml:space="preserve"> </w:t>
      </w:r>
      <w:r w:rsidR="00B03D88" w:rsidRPr="001D11CD">
        <w:rPr>
          <w:lang w:val="bg-BG"/>
        </w:rPr>
        <w:t>без да взема предвид съдържанието на реч</w:t>
      </w:r>
      <w:r w:rsidR="00330F3F" w:rsidRPr="001D11CD">
        <w:rPr>
          <w:lang w:val="bg-BG"/>
        </w:rPr>
        <w:t>та му</w:t>
      </w:r>
      <w:r w:rsidR="00B03D88" w:rsidRPr="001D11CD">
        <w:rPr>
          <w:lang w:val="bg-BG"/>
        </w:rPr>
        <w:t xml:space="preserve">, </w:t>
      </w:r>
      <w:r w:rsidR="00330F3F" w:rsidRPr="001D11CD">
        <w:rPr>
          <w:lang w:val="bg-BG"/>
        </w:rPr>
        <w:t xml:space="preserve">се основава единствено </w:t>
      </w:r>
      <w:r w:rsidR="00B03D88" w:rsidRPr="001D11CD">
        <w:rPr>
          <w:lang w:val="bg-BG"/>
        </w:rPr>
        <w:t xml:space="preserve">на факта, че е </w:t>
      </w:r>
      <w:r w:rsidR="00330F3F" w:rsidRPr="001D11CD">
        <w:rPr>
          <w:lang w:val="bg-BG"/>
        </w:rPr>
        <w:t xml:space="preserve">говорил </w:t>
      </w:r>
      <w:r w:rsidR="00B03D88" w:rsidRPr="001D11CD">
        <w:rPr>
          <w:lang w:val="bg-BG"/>
        </w:rPr>
        <w:t>на майчин</w:t>
      </w:r>
      <w:r w:rsidR="00330F3F" w:rsidRPr="001D11CD">
        <w:rPr>
          <w:lang w:val="bg-BG"/>
        </w:rPr>
        <w:t>ия си</w:t>
      </w:r>
      <w:r w:rsidR="00B03D88" w:rsidRPr="001D11CD">
        <w:rPr>
          <w:lang w:val="bg-BG"/>
        </w:rPr>
        <w:t xml:space="preserve"> език, не е </w:t>
      </w:r>
      <w:r w:rsidR="00330F3F" w:rsidRPr="001D11CD">
        <w:rPr>
          <w:lang w:val="bg-BG"/>
        </w:rPr>
        <w:t xml:space="preserve">нито </w:t>
      </w:r>
      <w:r w:rsidR="00B03D88" w:rsidRPr="001D11CD">
        <w:rPr>
          <w:lang w:val="bg-BG"/>
        </w:rPr>
        <w:t>оправдано</w:t>
      </w:r>
      <w:r w:rsidR="00330F3F" w:rsidRPr="001D11CD">
        <w:rPr>
          <w:lang w:val="bg-BG"/>
        </w:rPr>
        <w:t>,</w:t>
      </w:r>
      <w:r w:rsidR="00B03D88" w:rsidRPr="001D11CD">
        <w:rPr>
          <w:lang w:val="bg-BG"/>
        </w:rPr>
        <w:t xml:space="preserve"> </w:t>
      </w:r>
      <w:r w:rsidR="00330F3F" w:rsidRPr="001D11CD">
        <w:rPr>
          <w:lang w:val="bg-BG"/>
        </w:rPr>
        <w:t xml:space="preserve">нито </w:t>
      </w:r>
      <w:r w:rsidR="00B03D88" w:rsidRPr="001D11CD">
        <w:rPr>
          <w:lang w:val="bg-BG"/>
        </w:rPr>
        <w:t>необходимо в едно демократично общество.</w:t>
      </w:r>
    </w:p>
    <w:bookmarkStart w:id="14" w:name="Para40"/>
    <w:p w14:paraId="5B4DC528" w14:textId="4C3771EE" w:rsidR="00330F3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43</w:t>
      </w:r>
      <w:r w:rsidRPr="001D11CD">
        <w:rPr>
          <w:lang w:val="bg-BG"/>
        </w:rPr>
        <w:fldChar w:fldCharType="end"/>
      </w:r>
      <w:bookmarkEnd w:id="14"/>
      <w:r w:rsidRPr="001D11CD">
        <w:rPr>
          <w:lang w:val="bg-BG"/>
        </w:rPr>
        <w:t>.  </w:t>
      </w:r>
      <w:r w:rsidR="00156A3C" w:rsidRPr="001D11CD">
        <w:rPr>
          <w:lang w:val="bg-BG"/>
        </w:rPr>
        <w:t>Правителство</w:t>
      </w:r>
      <w:r w:rsidR="00330F3F" w:rsidRPr="001D11CD">
        <w:rPr>
          <w:lang w:val="bg-BG"/>
        </w:rPr>
        <w:t xml:space="preserve">то отговаря, че </w:t>
      </w:r>
      <w:r w:rsidR="00F428DD" w:rsidRPr="001D11CD">
        <w:rPr>
          <w:lang w:val="bg-BG"/>
        </w:rPr>
        <w:t>наложен</w:t>
      </w:r>
      <w:r w:rsidR="00C84235" w:rsidRPr="001D11CD">
        <w:rPr>
          <w:lang w:val="bg-BG"/>
        </w:rPr>
        <w:t>ото</w:t>
      </w:r>
      <w:r w:rsidR="00F428DD" w:rsidRPr="001D11CD">
        <w:rPr>
          <w:lang w:val="bg-BG"/>
        </w:rPr>
        <w:t xml:space="preserve"> на жалбоподателя </w:t>
      </w:r>
      <w:r w:rsidR="00FC639A" w:rsidRPr="001D11CD">
        <w:rPr>
          <w:lang w:val="bg-BG"/>
        </w:rPr>
        <w:t>административно наказание</w:t>
      </w:r>
      <w:r w:rsidR="00330F3F" w:rsidRPr="001D11CD">
        <w:rPr>
          <w:lang w:val="bg-BG"/>
        </w:rPr>
        <w:t xml:space="preserve"> </w:t>
      </w:r>
      <w:r w:rsidR="00C84235" w:rsidRPr="001D11CD">
        <w:rPr>
          <w:lang w:val="bg-BG"/>
        </w:rPr>
        <w:t>е предвидено</w:t>
      </w:r>
      <w:r w:rsidR="00F428DD" w:rsidRPr="001D11CD">
        <w:rPr>
          <w:lang w:val="bg-BG"/>
        </w:rPr>
        <w:t xml:space="preserve"> </w:t>
      </w:r>
      <w:r w:rsidR="00330F3F" w:rsidRPr="001D11CD">
        <w:rPr>
          <w:lang w:val="bg-BG"/>
        </w:rPr>
        <w:t>в член 13</w:t>
      </w:r>
      <w:r w:rsidR="00F542C7">
        <w:rPr>
          <w:lang w:val="bg-BG"/>
        </w:rPr>
        <w:t>3</w:t>
      </w:r>
      <w:r w:rsidR="00F428DD" w:rsidRPr="001D11CD">
        <w:rPr>
          <w:lang w:val="bg-BG"/>
        </w:rPr>
        <w:t>, алинея</w:t>
      </w:r>
      <w:r w:rsidR="00330F3F" w:rsidRPr="001D11CD">
        <w:rPr>
          <w:lang w:val="bg-BG"/>
        </w:rPr>
        <w:t xml:space="preserve"> 2 и в член</w:t>
      </w:r>
      <w:r w:rsidR="000A62E1" w:rsidRPr="001D11CD">
        <w:rPr>
          <w:lang w:val="bg-BG"/>
        </w:rPr>
        <w:t> </w:t>
      </w:r>
      <w:r w:rsidR="00330F3F" w:rsidRPr="001D11CD">
        <w:rPr>
          <w:lang w:val="bg-BG"/>
        </w:rPr>
        <w:t>299 от Изборния кодекс от 2011</w:t>
      </w:r>
      <w:r w:rsidR="000A62E1" w:rsidRPr="001D11CD">
        <w:rPr>
          <w:lang w:val="bg-BG"/>
        </w:rPr>
        <w:t> </w:t>
      </w:r>
      <w:r w:rsidR="00330F3F" w:rsidRPr="001D11CD">
        <w:rPr>
          <w:lang w:val="bg-BG"/>
        </w:rPr>
        <w:t>г</w:t>
      </w:r>
      <w:r w:rsidR="00F428DD" w:rsidRPr="001D11CD">
        <w:rPr>
          <w:lang w:val="bg-BG"/>
        </w:rPr>
        <w:t>одина</w:t>
      </w:r>
      <w:r w:rsidR="00330F3F" w:rsidRPr="001D11CD">
        <w:rPr>
          <w:lang w:val="bg-BG"/>
        </w:rPr>
        <w:t xml:space="preserve">, </w:t>
      </w:r>
      <w:r w:rsidR="00F428DD" w:rsidRPr="001D11CD">
        <w:rPr>
          <w:lang w:val="bg-BG"/>
        </w:rPr>
        <w:t xml:space="preserve">които </w:t>
      </w:r>
      <w:r w:rsidR="00330F3F" w:rsidRPr="001D11CD">
        <w:rPr>
          <w:lang w:val="bg-BG"/>
        </w:rPr>
        <w:t xml:space="preserve">разпоредби според него са достатъчно ясни по отношение на </w:t>
      </w:r>
      <w:r w:rsidR="00F428DD" w:rsidRPr="001D11CD">
        <w:rPr>
          <w:lang w:val="bg-BG"/>
        </w:rPr>
        <w:t xml:space="preserve">забраняваното </w:t>
      </w:r>
      <w:r w:rsidR="00330F3F" w:rsidRPr="001D11CD">
        <w:rPr>
          <w:lang w:val="bg-BG"/>
        </w:rPr>
        <w:t xml:space="preserve">поведение, а именно </w:t>
      </w:r>
      <w:r w:rsidR="00F428DD" w:rsidRPr="001D11CD">
        <w:rPr>
          <w:lang w:val="bg-BG"/>
        </w:rPr>
        <w:t>воденето на</w:t>
      </w:r>
      <w:r w:rsidR="00330F3F" w:rsidRPr="001D11CD">
        <w:rPr>
          <w:lang w:val="bg-BG"/>
        </w:rPr>
        <w:t xml:space="preserve"> предизборна кампания на език, различен от български</w:t>
      </w:r>
      <w:r w:rsidR="00F428DD" w:rsidRPr="001D11CD">
        <w:rPr>
          <w:lang w:val="bg-BG"/>
        </w:rPr>
        <w:t>я</w:t>
      </w:r>
      <w:r w:rsidR="00330F3F" w:rsidRPr="001D11CD">
        <w:rPr>
          <w:lang w:val="bg-BG"/>
        </w:rPr>
        <w:t xml:space="preserve">. То счита, че така наложеното ограничение на свободата на изразяване на мнение на жалбоподателя преследва няколко легитимни цели, по-специално защита на националната сигурност, </w:t>
      </w:r>
      <w:r w:rsidR="00F428DD" w:rsidRPr="001D11CD">
        <w:rPr>
          <w:lang w:val="bg-BG"/>
        </w:rPr>
        <w:t xml:space="preserve">на </w:t>
      </w:r>
      <w:r w:rsidR="00330F3F" w:rsidRPr="001D11CD">
        <w:rPr>
          <w:lang w:val="bg-BG"/>
        </w:rPr>
        <w:t xml:space="preserve">териториалната цялост и </w:t>
      </w:r>
      <w:r w:rsidR="00F428DD" w:rsidRPr="001D11CD">
        <w:rPr>
          <w:lang w:val="bg-BG"/>
        </w:rPr>
        <w:t xml:space="preserve">на </w:t>
      </w:r>
      <w:r w:rsidR="00330F3F" w:rsidRPr="001D11CD">
        <w:rPr>
          <w:lang w:val="bg-BG"/>
        </w:rPr>
        <w:t>обществения ред и правата на другите. Накрая Правителството подчертава, че то отговаря на „</w:t>
      </w:r>
      <w:r w:rsidR="00C84235" w:rsidRPr="001D11CD">
        <w:rPr>
          <w:lang w:val="bg-BG"/>
        </w:rPr>
        <w:t>належаща</w:t>
      </w:r>
      <w:r w:rsidR="00330F3F" w:rsidRPr="001D11CD">
        <w:rPr>
          <w:lang w:val="bg-BG"/>
        </w:rPr>
        <w:t xml:space="preserve"> </w:t>
      </w:r>
      <w:r w:rsidR="00C84235" w:rsidRPr="001D11CD">
        <w:rPr>
          <w:lang w:val="bg-BG"/>
        </w:rPr>
        <w:t>обществена необходимост</w:t>
      </w:r>
      <w:r w:rsidR="00330F3F" w:rsidRPr="001D11CD">
        <w:rPr>
          <w:lang w:val="bg-BG"/>
        </w:rPr>
        <w:t xml:space="preserve">“, </w:t>
      </w:r>
      <w:r w:rsidR="00335E96" w:rsidRPr="001D11CD">
        <w:rPr>
          <w:lang w:val="bg-BG"/>
        </w:rPr>
        <w:t xml:space="preserve">че </w:t>
      </w:r>
      <w:r w:rsidR="00330F3F" w:rsidRPr="001D11CD">
        <w:rPr>
          <w:lang w:val="bg-BG"/>
        </w:rPr>
        <w:t>е пропорционално на преследван</w:t>
      </w:r>
      <w:r w:rsidR="00335E96" w:rsidRPr="001D11CD">
        <w:rPr>
          <w:lang w:val="bg-BG"/>
        </w:rPr>
        <w:t>ите от него</w:t>
      </w:r>
      <w:r w:rsidR="00330F3F" w:rsidRPr="001D11CD">
        <w:rPr>
          <w:lang w:val="bg-BG"/>
        </w:rPr>
        <w:t xml:space="preserve"> цели</w:t>
      </w:r>
      <w:r w:rsidR="00335E96" w:rsidRPr="001D11CD">
        <w:rPr>
          <w:lang w:val="bg-BG"/>
        </w:rPr>
        <w:t xml:space="preserve"> </w:t>
      </w:r>
      <w:r w:rsidR="00330F3F" w:rsidRPr="001D11CD">
        <w:rPr>
          <w:lang w:val="bg-BG"/>
        </w:rPr>
        <w:t>и е необходимо в едно демократично общество, като се има предвид по-специално българския</w:t>
      </w:r>
      <w:r w:rsidR="00335E96" w:rsidRPr="001D11CD">
        <w:rPr>
          <w:lang w:val="bg-BG"/>
        </w:rPr>
        <w:t>т</w:t>
      </w:r>
      <w:r w:rsidR="00330F3F" w:rsidRPr="001D11CD">
        <w:rPr>
          <w:lang w:val="bg-BG"/>
        </w:rPr>
        <w:t xml:space="preserve"> политически и социален контекст. Правителството се позовава в това отношение на събитията, настъпили след насилствената </w:t>
      </w:r>
      <w:r w:rsidR="00335E96" w:rsidRPr="001D11CD">
        <w:rPr>
          <w:lang w:val="bg-BG"/>
        </w:rPr>
        <w:t>с</w:t>
      </w:r>
      <w:r w:rsidR="00330F3F" w:rsidRPr="001D11CD">
        <w:rPr>
          <w:lang w:val="bg-BG"/>
        </w:rPr>
        <w:t>мяна на имената на граждани</w:t>
      </w:r>
      <w:r w:rsidR="00335E96" w:rsidRPr="001D11CD">
        <w:rPr>
          <w:lang w:val="bg-BG"/>
        </w:rPr>
        <w:t>те</w:t>
      </w:r>
      <w:r w:rsidR="00330F3F" w:rsidRPr="001D11CD">
        <w:rPr>
          <w:lang w:val="bg-BG"/>
        </w:rPr>
        <w:t xml:space="preserve"> от турски произход </w:t>
      </w:r>
      <w:r w:rsidR="00335E96" w:rsidRPr="001D11CD">
        <w:rPr>
          <w:lang w:val="bg-BG"/>
        </w:rPr>
        <w:t>в</w:t>
      </w:r>
      <w:r w:rsidR="00330F3F" w:rsidRPr="001D11CD">
        <w:rPr>
          <w:lang w:val="bg-BG"/>
        </w:rPr>
        <w:t xml:space="preserve"> България през 1984</w:t>
      </w:r>
      <w:r w:rsidR="000A62E1" w:rsidRPr="001D11CD">
        <w:rPr>
          <w:lang w:val="bg-BG"/>
        </w:rPr>
        <w:t> г.</w:t>
      </w:r>
      <w:r w:rsidR="00330F3F" w:rsidRPr="001D11CD">
        <w:rPr>
          <w:lang w:val="bg-BG"/>
        </w:rPr>
        <w:t>, изселването на голям брой от тези граждани в Турция през 1989</w:t>
      </w:r>
      <w:r w:rsidR="000A62E1" w:rsidRPr="001D11CD">
        <w:rPr>
          <w:lang w:val="bg-BG"/>
        </w:rPr>
        <w:t> г.</w:t>
      </w:r>
      <w:r w:rsidR="00330F3F" w:rsidRPr="001D11CD">
        <w:rPr>
          <w:lang w:val="bg-BG"/>
        </w:rPr>
        <w:t xml:space="preserve"> и последвалия демократичен преход през 1989</w:t>
      </w:r>
      <w:r w:rsidR="000A62E1" w:rsidRPr="001D11CD">
        <w:rPr>
          <w:lang w:val="bg-BG"/>
        </w:rPr>
        <w:t> г.</w:t>
      </w:r>
      <w:r w:rsidR="00335E96" w:rsidRPr="001D11CD">
        <w:rPr>
          <w:lang w:val="bg-BG"/>
        </w:rPr>
        <w:t xml:space="preserve">, заменил </w:t>
      </w:r>
      <w:r w:rsidR="00330F3F" w:rsidRPr="001D11CD">
        <w:rPr>
          <w:lang w:val="bg-BG"/>
        </w:rPr>
        <w:t>тоталитар</w:t>
      </w:r>
      <w:r w:rsidR="00335E96" w:rsidRPr="001D11CD">
        <w:rPr>
          <w:lang w:val="bg-BG"/>
        </w:rPr>
        <w:t xml:space="preserve">ния </w:t>
      </w:r>
      <w:r w:rsidR="00330F3F" w:rsidRPr="001D11CD">
        <w:rPr>
          <w:lang w:val="bg-BG"/>
        </w:rPr>
        <w:t xml:space="preserve">режим. То посочва, че в България има много граждани, чийто майчин език не е българският и на които Конституцията признава правото да учат и използват своя език наред със задължителното изучаване на български език. </w:t>
      </w:r>
      <w:r w:rsidR="00335E96" w:rsidRPr="001D11CD">
        <w:rPr>
          <w:lang w:val="bg-BG"/>
        </w:rPr>
        <w:t>Като п</w:t>
      </w:r>
      <w:r w:rsidR="00330F3F" w:rsidRPr="001D11CD">
        <w:rPr>
          <w:lang w:val="bg-BG"/>
        </w:rPr>
        <w:t xml:space="preserve">рипомня, че турското етническо малцинство представлява най-голямата малцинствена група в България, </w:t>
      </w:r>
      <w:r w:rsidR="001D11CD" w:rsidRPr="001D11CD">
        <w:rPr>
          <w:lang w:val="bg-BG"/>
        </w:rPr>
        <w:t>П</w:t>
      </w:r>
      <w:r w:rsidR="00330F3F" w:rsidRPr="001D11CD">
        <w:rPr>
          <w:lang w:val="bg-BG"/>
        </w:rPr>
        <w:t xml:space="preserve">равителството обяснява, че в страната са създадени много структури и инициативи за насърчаване на интеграцията на хората, принадлежащи към тази група, и че </w:t>
      </w:r>
      <w:r w:rsidR="005B1B8A" w:rsidRPr="001D11CD">
        <w:rPr>
          <w:lang w:val="bg-BG"/>
        </w:rPr>
        <w:t xml:space="preserve">е редно </w:t>
      </w:r>
      <w:r w:rsidR="00330F3F" w:rsidRPr="001D11CD">
        <w:rPr>
          <w:lang w:val="bg-BG"/>
        </w:rPr>
        <w:t xml:space="preserve">да се балансират социалните </w:t>
      </w:r>
      <w:r w:rsidR="005B1B8A" w:rsidRPr="001D11CD">
        <w:rPr>
          <w:lang w:val="bg-BG"/>
        </w:rPr>
        <w:t>предизвикателства пред</w:t>
      </w:r>
      <w:r w:rsidR="00330F3F" w:rsidRPr="001D11CD">
        <w:rPr>
          <w:lang w:val="bg-BG"/>
        </w:rPr>
        <w:t xml:space="preserve"> тази интеграция, от една страна, с</w:t>
      </w:r>
      <w:r w:rsidR="005B1B8A" w:rsidRPr="001D11CD">
        <w:rPr>
          <w:lang w:val="bg-BG"/>
        </w:rPr>
        <w:t xml:space="preserve">ъс </w:t>
      </w:r>
      <w:r w:rsidR="00B6166E" w:rsidRPr="001D11CD">
        <w:rPr>
          <w:lang w:val="bg-BG"/>
        </w:rPr>
        <w:t>специфичн</w:t>
      </w:r>
      <w:r w:rsidR="00B6166E">
        <w:rPr>
          <w:lang w:val="bg-BG"/>
        </w:rPr>
        <w:t>ите особености</w:t>
      </w:r>
      <w:r w:rsidR="00B6166E" w:rsidRPr="001D11CD">
        <w:rPr>
          <w:lang w:val="bg-BG"/>
        </w:rPr>
        <w:t xml:space="preserve"> </w:t>
      </w:r>
      <w:r w:rsidR="00330F3F" w:rsidRPr="001D11CD">
        <w:rPr>
          <w:lang w:val="bg-BG"/>
        </w:rPr>
        <w:t xml:space="preserve">на политическия и изборния процес, област, пряко свързана със суверенитета на държавата, националната сигурност и обществения ред, от друга страна. За </w:t>
      </w:r>
      <w:r w:rsidR="001D11CD" w:rsidRPr="001D11CD">
        <w:rPr>
          <w:lang w:val="bg-BG"/>
        </w:rPr>
        <w:t>П</w:t>
      </w:r>
      <w:r w:rsidR="00330F3F" w:rsidRPr="001D11CD">
        <w:rPr>
          <w:lang w:val="bg-BG"/>
        </w:rPr>
        <w:t xml:space="preserve">равителството </w:t>
      </w:r>
      <w:r w:rsidR="00E54ED5" w:rsidRPr="001D11CD">
        <w:rPr>
          <w:lang w:val="bg-BG"/>
        </w:rPr>
        <w:t>наказание</w:t>
      </w:r>
      <w:r w:rsidR="002558BA" w:rsidRPr="001D11CD">
        <w:rPr>
          <w:lang w:val="bg-BG"/>
        </w:rPr>
        <w:t>то</w:t>
      </w:r>
      <w:r w:rsidR="00330F3F" w:rsidRPr="001D11CD">
        <w:rPr>
          <w:lang w:val="bg-BG"/>
        </w:rPr>
        <w:t xml:space="preserve"> на жалбоподателя не </w:t>
      </w:r>
      <w:r w:rsidR="00C84235" w:rsidRPr="001D11CD">
        <w:rPr>
          <w:lang w:val="bg-BG"/>
        </w:rPr>
        <w:t>излиза извън</w:t>
      </w:r>
      <w:r w:rsidR="00330F3F" w:rsidRPr="001D11CD">
        <w:rPr>
          <w:lang w:val="bg-BG"/>
        </w:rPr>
        <w:t xml:space="preserve"> широката свобода на преценка, оставена на държавите по отношение на езиковите политики с цел регулиране на изборния процес (</w:t>
      </w:r>
      <w:proofErr w:type="spellStart"/>
      <w:r w:rsidR="005B1B8A" w:rsidRPr="001D11CD">
        <w:rPr>
          <w:i/>
          <w:lang w:val="bg-BG"/>
        </w:rPr>
        <w:t>Шукран</w:t>
      </w:r>
      <w:proofErr w:type="spellEnd"/>
      <w:r w:rsidR="005B1B8A" w:rsidRPr="001D11CD">
        <w:rPr>
          <w:i/>
          <w:lang w:val="bg-BG"/>
        </w:rPr>
        <w:t xml:space="preserve"> Айдън</w:t>
      </w:r>
      <w:r w:rsidR="00330F3F" w:rsidRPr="001D11CD">
        <w:rPr>
          <w:i/>
          <w:lang w:val="bg-BG"/>
        </w:rPr>
        <w:t xml:space="preserve"> и други</w:t>
      </w:r>
      <w:r w:rsidR="00330F3F" w:rsidRPr="001D11CD">
        <w:rPr>
          <w:lang w:val="bg-BG"/>
        </w:rPr>
        <w:t xml:space="preserve">, горецитирано, § 51). Уточнява, че както </w:t>
      </w:r>
      <w:r w:rsidR="005B1B8A" w:rsidRPr="001D11CD">
        <w:rPr>
          <w:lang w:val="bg-BG"/>
        </w:rPr>
        <w:t xml:space="preserve">процесната </w:t>
      </w:r>
      <w:r w:rsidR="00330F3F" w:rsidRPr="001D11CD">
        <w:rPr>
          <w:lang w:val="bg-BG"/>
        </w:rPr>
        <w:t xml:space="preserve">норма, така и </w:t>
      </w:r>
      <w:r w:rsidR="00E54ED5" w:rsidRPr="001D11CD">
        <w:rPr>
          <w:lang w:val="bg-BG"/>
        </w:rPr>
        <w:t>наказание</w:t>
      </w:r>
      <w:r w:rsidR="0010694E" w:rsidRPr="001D11CD">
        <w:rPr>
          <w:lang w:val="bg-BG"/>
        </w:rPr>
        <w:t>то</w:t>
      </w:r>
      <w:r w:rsidR="00330F3F" w:rsidRPr="001D11CD">
        <w:rPr>
          <w:lang w:val="bg-BG"/>
        </w:rPr>
        <w:t xml:space="preserve"> са пропорционални на преследваните легитимни цели. </w:t>
      </w:r>
      <w:r w:rsidR="005B1B8A" w:rsidRPr="001D11CD">
        <w:rPr>
          <w:lang w:val="bg-BG"/>
        </w:rPr>
        <w:t>Д</w:t>
      </w:r>
      <w:r w:rsidR="00330F3F" w:rsidRPr="001D11CD">
        <w:rPr>
          <w:lang w:val="bg-BG"/>
        </w:rPr>
        <w:t xml:space="preserve">обавя в това отношение, че използването на български език по време на предизборна кампания е от съществено значение, за да могат властите да </w:t>
      </w:r>
      <w:r w:rsidR="005B1B8A" w:rsidRPr="001D11CD">
        <w:rPr>
          <w:lang w:val="bg-BG"/>
        </w:rPr>
        <w:t>контролират</w:t>
      </w:r>
      <w:r w:rsidR="00330F3F" w:rsidRPr="001D11CD">
        <w:rPr>
          <w:lang w:val="bg-BG"/>
        </w:rPr>
        <w:t xml:space="preserve"> провеждането на изборите и да санкционират </w:t>
      </w:r>
      <w:r w:rsidR="005B1B8A" w:rsidRPr="001D11CD">
        <w:rPr>
          <w:lang w:val="bg-BG"/>
        </w:rPr>
        <w:t>евентуално констатираните</w:t>
      </w:r>
      <w:r w:rsidR="00330F3F" w:rsidRPr="001D11CD">
        <w:rPr>
          <w:lang w:val="bg-BG"/>
        </w:rPr>
        <w:t xml:space="preserve"> нарушени</w:t>
      </w:r>
      <w:r w:rsidR="005B1B8A" w:rsidRPr="001D11CD">
        <w:rPr>
          <w:lang w:val="bg-BG"/>
        </w:rPr>
        <w:t xml:space="preserve">я </w:t>
      </w:r>
      <w:r w:rsidR="00330F3F" w:rsidRPr="001D11CD">
        <w:rPr>
          <w:lang w:val="bg-BG"/>
        </w:rPr>
        <w:t xml:space="preserve">в този контекст, като такава разпоредба </w:t>
      </w:r>
      <w:r w:rsidR="00F97BA2" w:rsidRPr="001D11CD">
        <w:rPr>
          <w:lang w:val="bg-BG"/>
        </w:rPr>
        <w:t xml:space="preserve">според него </w:t>
      </w:r>
      <w:r w:rsidR="00330F3F" w:rsidRPr="001D11CD">
        <w:rPr>
          <w:lang w:val="bg-BG"/>
        </w:rPr>
        <w:t xml:space="preserve">има </w:t>
      </w:r>
      <w:r w:rsidR="00F97BA2" w:rsidRPr="001D11CD">
        <w:rPr>
          <w:lang w:val="bg-BG"/>
        </w:rPr>
        <w:t xml:space="preserve">за своя крайна </w:t>
      </w:r>
      <w:r w:rsidR="00330F3F" w:rsidRPr="001D11CD">
        <w:rPr>
          <w:lang w:val="bg-BG"/>
        </w:rPr>
        <w:t xml:space="preserve">цел </w:t>
      </w:r>
      <w:r w:rsidR="00F97BA2" w:rsidRPr="001D11CD">
        <w:rPr>
          <w:lang w:val="bg-BG"/>
        </w:rPr>
        <w:t>о</w:t>
      </w:r>
      <w:r w:rsidR="00330F3F" w:rsidRPr="001D11CD">
        <w:rPr>
          <w:lang w:val="bg-BG"/>
        </w:rPr>
        <w:t>пазване</w:t>
      </w:r>
      <w:r w:rsidR="00F97BA2" w:rsidRPr="001D11CD">
        <w:rPr>
          <w:lang w:val="bg-BG"/>
        </w:rPr>
        <w:t>то</w:t>
      </w:r>
      <w:r w:rsidR="00330F3F" w:rsidRPr="001D11CD">
        <w:rPr>
          <w:lang w:val="bg-BG"/>
        </w:rPr>
        <w:t xml:space="preserve"> на националн</w:t>
      </w:r>
      <w:r w:rsidR="00F97BA2" w:rsidRPr="001D11CD">
        <w:rPr>
          <w:lang w:val="bg-BG"/>
        </w:rPr>
        <w:t>ия д</w:t>
      </w:r>
      <w:r w:rsidR="00330F3F" w:rsidRPr="001D11CD">
        <w:rPr>
          <w:lang w:val="bg-BG"/>
        </w:rPr>
        <w:t>емократич</w:t>
      </w:r>
      <w:r w:rsidR="00F97BA2" w:rsidRPr="001D11CD">
        <w:rPr>
          <w:lang w:val="bg-BG"/>
        </w:rPr>
        <w:t>е</w:t>
      </w:r>
      <w:r w:rsidR="00330F3F" w:rsidRPr="001D11CD">
        <w:rPr>
          <w:lang w:val="bg-BG"/>
        </w:rPr>
        <w:t xml:space="preserve">н живот. </w:t>
      </w:r>
      <w:r w:rsidR="00B21BE0" w:rsidRPr="001D11CD">
        <w:rPr>
          <w:lang w:val="bg-BG"/>
        </w:rPr>
        <w:t>От друга страна</w:t>
      </w:r>
      <w:r w:rsidR="001D11CD" w:rsidRPr="001D11CD">
        <w:rPr>
          <w:lang w:val="bg-BG"/>
        </w:rPr>
        <w:t>, П</w:t>
      </w:r>
      <w:r w:rsidR="00F97BA2" w:rsidRPr="001D11CD">
        <w:rPr>
          <w:lang w:val="bg-BG"/>
        </w:rPr>
        <w:t xml:space="preserve">равителството </w:t>
      </w:r>
      <w:r w:rsidR="00330F3F" w:rsidRPr="001D11CD">
        <w:rPr>
          <w:lang w:val="bg-BG"/>
        </w:rPr>
        <w:t xml:space="preserve">посочва, че </w:t>
      </w:r>
      <w:r w:rsidR="00F97BA2" w:rsidRPr="001D11CD">
        <w:rPr>
          <w:lang w:val="bg-BG"/>
        </w:rPr>
        <w:t>въпросните</w:t>
      </w:r>
      <w:r w:rsidR="00330F3F" w:rsidRPr="001D11CD">
        <w:rPr>
          <w:lang w:val="bg-BG"/>
        </w:rPr>
        <w:t xml:space="preserve"> ограничения, заедно със задължението, наложено на всички български граждани</w:t>
      </w:r>
      <w:r w:rsidR="00B6166E">
        <w:rPr>
          <w:lang w:val="bg-BG"/>
        </w:rPr>
        <w:t>,</w:t>
      </w:r>
      <w:r w:rsidR="00330F3F" w:rsidRPr="001D11CD">
        <w:rPr>
          <w:lang w:val="bg-BG"/>
        </w:rPr>
        <w:t xml:space="preserve"> да учат български език, и с конституционната забрана за </w:t>
      </w:r>
      <w:r w:rsidR="00F97BA2" w:rsidRPr="001D11CD">
        <w:rPr>
          <w:lang w:val="bg-BG"/>
        </w:rPr>
        <w:t xml:space="preserve">създаване </w:t>
      </w:r>
      <w:r w:rsidR="00330F3F" w:rsidRPr="001D11CD">
        <w:rPr>
          <w:lang w:val="bg-BG"/>
        </w:rPr>
        <w:t>на политически партии</w:t>
      </w:r>
      <w:r w:rsidR="00F97BA2" w:rsidRPr="001D11CD">
        <w:rPr>
          <w:lang w:val="bg-BG"/>
        </w:rPr>
        <w:t>,</w:t>
      </w:r>
      <w:r w:rsidR="00330F3F" w:rsidRPr="001D11CD">
        <w:rPr>
          <w:lang w:val="bg-BG"/>
        </w:rPr>
        <w:t xml:space="preserve"> основа</w:t>
      </w:r>
      <w:r w:rsidR="00F97BA2" w:rsidRPr="001D11CD">
        <w:rPr>
          <w:lang w:val="bg-BG"/>
        </w:rPr>
        <w:t>ни</w:t>
      </w:r>
      <w:r w:rsidR="00330F3F" w:rsidRPr="001D11CD">
        <w:rPr>
          <w:lang w:val="bg-BG"/>
        </w:rPr>
        <w:t xml:space="preserve"> на етнически, </w:t>
      </w:r>
      <w:r w:rsidR="0010694E" w:rsidRPr="001D11CD">
        <w:rPr>
          <w:lang w:val="bg-BG"/>
        </w:rPr>
        <w:t>верски</w:t>
      </w:r>
      <w:r w:rsidR="00330F3F" w:rsidRPr="001D11CD">
        <w:rPr>
          <w:lang w:val="bg-BG"/>
        </w:rPr>
        <w:t xml:space="preserve"> или расови критерии, образуват едно </w:t>
      </w:r>
      <w:r w:rsidR="00F97BA2" w:rsidRPr="001D11CD">
        <w:rPr>
          <w:lang w:val="bg-BG"/>
        </w:rPr>
        <w:t xml:space="preserve">логически издържано </w:t>
      </w:r>
      <w:r w:rsidR="00330F3F" w:rsidRPr="001D11CD">
        <w:rPr>
          <w:lang w:val="bg-BG"/>
        </w:rPr>
        <w:t>цяло.</w:t>
      </w:r>
    </w:p>
    <w:p w14:paraId="1DF9A153" w14:textId="463B3E4C" w:rsidR="00F97BA2"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44</w:t>
      </w:r>
      <w:r w:rsidRPr="001D11CD">
        <w:rPr>
          <w:lang w:val="bg-BG"/>
        </w:rPr>
        <w:fldChar w:fldCharType="end"/>
      </w:r>
      <w:r w:rsidR="000B760F" w:rsidRPr="001D11CD">
        <w:rPr>
          <w:lang w:val="bg-BG"/>
        </w:rPr>
        <w:t>.  </w:t>
      </w:r>
      <w:r w:rsidR="00F97BA2" w:rsidRPr="001D11CD">
        <w:rPr>
          <w:lang w:val="bg-BG"/>
        </w:rPr>
        <w:t>Правителството добавя, че ограничението, наложено на свободата на изразяване на мнение на жалбоподателя, има за цел да защити и правата на гражданите, които не владеят турски, като им позволи да си създадат мнение. Според него разрешаването на използването на малцинствен език би довело до риск от загуба на взаимно доверие между отделните общности и изолиране на някои от тях, унищожавайки по този начин усилията, положени за насърчаване на интеграцията на всички етнически общности в страната.</w:t>
      </w:r>
    </w:p>
    <w:p w14:paraId="7CD18158" w14:textId="71FECADF" w:rsidR="000C359B"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45</w:t>
      </w:r>
      <w:r w:rsidRPr="001D11CD">
        <w:rPr>
          <w:lang w:val="bg-BG"/>
        </w:rPr>
        <w:fldChar w:fldCharType="end"/>
      </w:r>
      <w:r w:rsidR="000B760F" w:rsidRPr="001D11CD">
        <w:rPr>
          <w:lang w:val="bg-BG"/>
        </w:rPr>
        <w:t>.  </w:t>
      </w:r>
      <w:r w:rsidR="001D11CD" w:rsidRPr="001D11CD">
        <w:rPr>
          <w:lang w:val="bg-BG"/>
        </w:rPr>
        <w:t>От друга страна, П</w:t>
      </w:r>
      <w:r w:rsidR="000C359B" w:rsidRPr="001D11CD">
        <w:rPr>
          <w:lang w:val="bg-BG"/>
        </w:rPr>
        <w:t>равителството изтъква, че на жалбоподателя е наложен</w:t>
      </w:r>
      <w:r w:rsidR="002D4D64" w:rsidRPr="001D11CD">
        <w:rPr>
          <w:lang w:val="bg-BG"/>
        </w:rPr>
        <w:t>о</w:t>
      </w:r>
      <w:r w:rsidR="000C359B" w:rsidRPr="001D11CD">
        <w:rPr>
          <w:lang w:val="bg-BG"/>
        </w:rPr>
        <w:t xml:space="preserve"> </w:t>
      </w:r>
      <w:r w:rsidR="00E54ED5" w:rsidRPr="001D11CD">
        <w:rPr>
          <w:lang w:val="bg-BG"/>
        </w:rPr>
        <w:t>наказание</w:t>
      </w:r>
      <w:r w:rsidR="002D4D64" w:rsidRPr="001D11CD">
        <w:rPr>
          <w:lang w:val="bg-BG"/>
        </w:rPr>
        <w:t>, съответстващо</w:t>
      </w:r>
      <w:r w:rsidR="000C359B" w:rsidRPr="001D11CD">
        <w:rPr>
          <w:lang w:val="bg-BG"/>
        </w:rPr>
        <w:t xml:space="preserve"> на минималния размер по закон. То добавя, че жалбоподателят е можел да използва симултанен превод.</w:t>
      </w:r>
    </w:p>
    <w:bookmarkStart w:id="15" w:name="Para43"/>
    <w:p w14:paraId="7E165489" w14:textId="6F25580E" w:rsidR="000C359B"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46</w:t>
      </w:r>
      <w:r w:rsidRPr="001D11CD">
        <w:rPr>
          <w:lang w:val="bg-BG"/>
        </w:rPr>
        <w:fldChar w:fldCharType="end"/>
      </w:r>
      <w:bookmarkEnd w:id="15"/>
      <w:r w:rsidRPr="001D11CD">
        <w:rPr>
          <w:lang w:val="bg-BG"/>
        </w:rPr>
        <w:t>.  </w:t>
      </w:r>
      <w:r w:rsidR="000C359B" w:rsidRPr="001D11CD">
        <w:rPr>
          <w:lang w:val="bg-BG"/>
        </w:rPr>
        <w:t xml:space="preserve">И накрая </w:t>
      </w:r>
      <w:r w:rsidR="001D11CD" w:rsidRPr="001D11CD">
        <w:rPr>
          <w:lang w:val="bg-BG"/>
        </w:rPr>
        <w:t>П</w:t>
      </w:r>
      <w:r w:rsidR="00076315" w:rsidRPr="001D11CD">
        <w:rPr>
          <w:lang w:val="bg-BG"/>
        </w:rPr>
        <w:t xml:space="preserve">равителството </w:t>
      </w:r>
      <w:r w:rsidR="000C359B" w:rsidRPr="001D11CD">
        <w:rPr>
          <w:lang w:val="bg-BG"/>
        </w:rPr>
        <w:t xml:space="preserve">поддържа, че настоящият </w:t>
      </w:r>
      <w:r w:rsidR="00076315" w:rsidRPr="001D11CD">
        <w:rPr>
          <w:lang w:val="bg-BG"/>
        </w:rPr>
        <w:t>случай</w:t>
      </w:r>
      <w:r w:rsidR="000C359B" w:rsidRPr="001D11CD">
        <w:rPr>
          <w:lang w:val="bg-BG"/>
        </w:rPr>
        <w:t xml:space="preserve"> </w:t>
      </w:r>
      <w:r w:rsidR="00076315" w:rsidRPr="001D11CD">
        <w:rPr>
          <w:lang w:val="bg-BG"/>
        </w:rPr>
        <w:t>следва</w:t>
      </w:r>
      <w:r w:rsidR="000C359B" w:rsidRPr="001D11CD">
        <w:rPr>
          <w:lang w:val="bg-BG"/>
        </w:rPr>
        <w:t xml:space="preserve"> да се разграничава от </w:t>
      </w:r>
      <w:r w:rsidR="00B6166E" w:rsidRPr="001D11CD">
        <w:rPr>
          <w:lang w:val="bg-BG"/>
        </w:rPr>
        <w:t>горецитирано</w:t>
      </w:r>
      <w:r w:rsidR="00B6166E">
        <w:rPr>
          <w:lang w:val="bg-BG"/>
        </w:rPr>
        <w:t>то</w:t>
      </w:r>
      <w:r w:rsidR="00B6166E" w:rsidRPr="001D11CD">
        <w:rPr>
          <w:lang w:val="bg-BG"/>
        </w:rPr>
        <w:t xml:space="preserve"> </w:t>
      </w:r>
      <w:r w:rsidR="000C359B" w:rsidRPr="001D11CD">
        <w:rPr>
          <w:lang w:val="bg-BG"/>
        </w:rPr>
        <w:t xml:space="preserve">дело </w:t>
      </w:r>
      <w:proofErr w:type="spellStart"/>
      <w:r w:rsidR="000C359B" w:rsidRPr="001D11CD">
        <w:rPr>
          <w:i/>
          <w:lang w:val="bg-BG"/>
        </w:rPr>
        <w:t>Шукран</w:t>
      </w:r>
      <w:proofErr w:type="spellEnd"/>
      <w:r w:rsidR="000C359B" w:rsidRPr="001D11CD">
        <w:rPr>
          <w:i/>
          <w:lang w:val="bg-BG"/>
        </w:rPr>
        <w:t xml:space="preserve"> Айдън и други</w:t>
      </w:r>
      <w:r w:rsidR="00076315" w:rsidRPr="001D11CD">
        <w:rPr>
          <w:lang w:val="bg-BG"/>
        </w:rPr>
        <w:t>,</w:t>
      </w:r>
      <w:r w:rsidR="000C359B" w:rsidRPr="001D11CD">
        <w:rPr>
          <w:lang w:val="bg-BG"/>
        </w:rPr>
        <w:t xml:space="preserve">. В тази връзка то </w:t>
      </w:r>
      <w:r w:rsidR="00D24EC8">
        <w:rPr>
          <w:lang w:val="bg-BG"/>
        </w:rPr>
        <w:t>посочва</w:t>
      </w:r>
      <w:r w:rsidR="000C359B" w:rsidRPr="001D11CD">
        <w:rPr>
          <w:lang w:val="bg-BG"/>
        </w:rPr>
        <w:t>, че за разлика от кюрдското малцинство в Турция, което страда от дълбоко вкоренени проблеми, както се вижда от поредица решения на Съд</w:t>
      </w:r>
      <w:r w:rsidR="00076315" w:rsidRPr="001D11CD">
        <w:rPr>
          <w:lang w:val="bg-BG"/>
        </w:rPr>
        <w:t>а</w:t>
      </w:r>
      <w:r w:rsidR="000C359B" w:rsidRPr="001D11CD">
        <w:rPr>
          <w:lang w:val="bg-BG"/>
        </w:rPr>
        <w:t>, населението от турски произход и мюсюлманск</w:t>
      </w:r>
      <w:r w:rsidR="00076315" w:rsidRPr="001D11CD">
        <w:rPr>
          <w:lang w:val="bg-BG"/>
        </w:rPr>
        <w:t>о вероизповедание</w:t>
      </w:r>
      <w:r w:rsidR="000C359B" w:rsidRPr="001D11CD">
        <w:rPr>
          <w:lang w:val="bg-BG"/>
        </w:rPr>
        <w:t xml:space="preserve"> в България, </w:t>
      </w:r>
      <w:r w:rsidR="00076315" w:rsidRPr="001D11CD">
        <w:rPr>
          <w:lang w:val="bg-BG"/>
        </w:rPr>
        <w:t xml:space="preserve">макар </w:t>
      </w:r>
      <w:r w:rsidR="000C359B" w:rsidRPr="001D11CD">
        <w:rPr>
          <w:lang w:val="bg-BG"/>
        </w:rPr>
        <w:t xml:space="preserve">и жертва по време на комунистическата епоха на многобройни нарушения на човешките права, оттогава </w:t>
      </w:r>
      <w:r w:rsidR="00076315" w:rsidRPr="001D11CD">
        <w:rPr>
          <w:lang w:val="bg-BG"/>
        </w:rPr>
        <w:t xml:space="preserve">е </w:t>
      </w:r>
      <w:r w:rsidR="000C359B" w:rsidRPr="001D11CD">
        <w:rPr>
          <w:lang w:val="bg-BG"/>
        </w:rPr>
        <w:t>успешно интегрира</w:t>
      </w:r>
      <w:r w:rsidR="00076315" w:rsidRPr="001D11CD">
        <w:rPr>
          <w:lang w:val="bg-BG"/>
        </w:rPr>
        <w:t>но</w:t>
      </w:r>
      <w:r w:rsidR="000C359B" w:rsidRPr="001D11CD">
        <w:rPr>
          <w:lang w:val="bg-BG"/>
        </w:rPr>
        <w:t xml:space="preserve"> и участва в българския обществен живот, като същевременно </w:t>
      </w:r>
      <w:r w:rsidR="002D4D64" w:rsidRPr="001D11CD">
        <w:rPr>
          <w:lang w:val="bg-BG"/>
        </w:rPr>
        <w:t>се ползва от</w:t>
      </w:r>
      <w:r w:rsidR="000C359B" w:rsidRPr="001D11CD">
        <w:rPr>
          <w:lang w:val="bg-BG"/>
        </w:rPr>
        <w:t xml:space="preserve"> конституционно гарантирано право на изучаване на майчиния език. </w:t>
      </w:r>
      <w:r w:rsidR="00076315" w:rsidRPr="001D11CD">
        <w:rPr>
          <w:lang w:val="bg-BG"/>
        </w:rPr>
        <w:t xml:space="preserve">Онова, което допълнително отличава настоящото дело от делото </w:t>
      </w:r>
      <w:proofErr w:type="spellStart"/>
      <w:r w:rsidR="00076315" w:rsidRPr="001D11CD">
        <w:rPr>
          <w:i/>
          <w:lang w:val="bg-BG"/>
        </w:rPr>
        <w:t>Шукран</w:t>
      </w:r>
      <w:proofErr w:type="spellEnd"/>
      <w:r w:rsidR="00076315" w:rsidRPr="001D11CD">
        <w:rPr>
          <w:i/>
          <w:lang w:val="bg-BG"/>
        </w:rPr>
        <w:t xml:space="preserve"> Айдън и други</w:t>
      </w:r>
      <w:r w:rsidR="00076315" w:rsidRPr="001D11CD">
        <w:rPr>
          <w:lang w:val="bg-BG"/>
        </w:rPr>
        <w:t>, с</w:t>
      </w:r>
      <w:r w:rsidR="000C359B" w:rsidRPr="001D11CD">
        <w:rPr>
          <w:lang w:val="bg-BG"/>
        </w:rPr>
        <w:t xml:space="preserve">поред </w:t>
      </w:r>
      <w:r w:rsidR="001D11CD" w:rsidRPr="001D11CD">
        <w:rPr>
          <w:lang w:val="bg-BG"/>
        </w:rPr>
        <w:t>П</w:t>
      </w:r>
      <w:r w:rsidR="000C359B" w:rsidRPr="001D11CD">
        <w:rPr>
          <w:lang w:val="bg-BG"/>
        </w:rPr>
        <w:t xml:space="preserve">равителството е, от една страна, естеството </w:t>
      </w:r>
      <w:r w:rsidR="00AA3997" w:rsidRPr="001D11CD">
        <w:rPr>
          <w:lang w:val="bg-BG"/>
        </w:rPr>
        <w:t xml:space="preserve">на наложената санкция </w:t>
      </w:r>
      <w:r w:rsidR="00B21BE0" w:rsidRPr="001D11CD">
        <w:rPr>
          <w:lang w:val="bg-BG"/>
        </w:rPr>
        <w:t>—</w:t>
      </w:r>
      <w:r w:rsidR="000C359B" w:rsidRPr="001D11CD">
        <w:rPr>
          <w:lang w:val="bg-BG"/>
        </w:rPr>
        <w:t xml:space="preserve"> </w:t>
      </w:r>
      <w:r w:rsidR="00076315" w:rsidRPr="001D11CD">
        <w:rPr>
          <w:lang w:val="bg-BG"/>
        </w:rPr>
        <w:t>в случая</w:t>
      </w:r>
      <w:r w:rsidR="000C359B" w:rsidRPr="001D11CD">
        <w:rPr>
          <w:lang w:val="bg-BG"/>
        </w:rPr>
        <w:t xml:space="preserve"> административн</w:t>
      </w:r>
      <w:r w:rsidR="002D4D64" w:rsidRPr="001D11CD">
        <w:rPr>
          <w:lang w:val="bg-BG"/>
        </w:rPr>
        <w:t>а</w:t>
      </w:r>
      <w:r w:rsidR="000C359B" w:rsidRPr="001D11CD">
        <w:rPr>
          <w:lang w:val="bg-BG"/>
        </w:rPr>
        <w:t xml:space="preserve">, </w:t>
      </w:r>
      <w:r w:rsidR="00076315" w:rsidRPr="001D11CD">
        <w:rPr>
          <w:lang w:val="bg-BG"/>
        </w:rPr>
        <w:t>а</w:t>
      </w:r>
      <w:r w:rsidR="000C359B" w:rsidRPr="001D11CD">
        <w:rPr>
          <w:lang w:val="bg-BG"/>
        </w:rPr>
        <w:t xml:space="preserve"> </w:t>
      </w:r>
      <w:r w:rsidR="00076315" w:rsidRPr="001D11CD">
        <w:rPr>
          <w:lang w:val="bg-BG"/>
        </w:rPr>
        <w:t>в г</w:t>
      </w:r>
      <w:r w:rsidR="000C359B" w:rsidRPr="001D11CD">
        <w:rPr>
          <w:lang w:val="bg-BG"/>
        </w:rPr>
        <w:t xml:space="preserve">орецитирано </w:t>
      </w:r>
      <w:r w:rsidR="00076315" w:rsidRPr="001D11CD">
        <w:rPr>
          <w:lang w:val="bg-BG"/>
        </w:rPr>
        <w:t xml:space="preserve">дело </w:t>
      </w:r>
      <w:r w:rsidR="000C359B" w:rsidRPr="001D11CD">
        <w:rPr>
          <w:lang w:val="bg-BG"/>
        </w:rPr>
        <w:t>наказателн</w:t>
      </w:r>
      <w:r w:rsidR="002D4D64" w:rsidRPr="001D11CD">
        <w:rPr>
          <w:lang w:val="bg-BG"/>
        </w:rPr>
        <w:t>а</w:t>
      </w:r>
      <w:r w:rsidR="00B21BE0" w:rsidRPr="001D11CD">
        <w:rPr>
          <w:lang w:val="bg-BG"/>
        </w:rPr>
        <w:t xml:space="preserve"> — </w:t>
      </w:r>
      <w:r w:rsidR="000C359B" w:rsidRPr="001D11CD">
        <w:rPr>
          <w:lang w:val="bg-BG"/>
        </w:rPr>
        <w:t xml:space="preserve">и от друга страна, фактът, че жалбоподателят от гореспоменатото дело </w:t>
      </w:r>
      <w:r w:rsidR="00076315" w:rsidRPr="001D11CD">
        <w:rPr>
          <w:lang w:val="bg-BG"/>
        </w:rPr>
        <w:t xml:space="preserve">е </w:t>
      </w:r>
      <w:r w:rsidR="000C359B" w:rsidRPr="001D11CD">
        <w:rPr>
          <w:lang w:val="bg-BG"/>
        </w:rPr>
        <w:t>говор</w:t>
      </w:r>
      <w:r w:rsidR="00076315" w:rsidRPr="001D11CD">
        <w:rPr>
          <w:lang w:val="bg-BG"/>
        </w:rPr>
        <w:t>ел</w:t>
      </w:r>
      <w:r w:rsidR="000C359B" w:rsidRPr="001D11CD">
        <w:rPr>
          <w:lang w:val="bg-BG"/>
        </w:rPr>
        <w:t xml:space="preserve"> на кюрдски пред публика, която не разбира турски, докато жалбоподателят </w:t>
      </w:r>
      <w:r w:rsidR="00076315" w:rsidRPr="001D11CD">
        <w:rPr>
          <w:lang w:val="bg-BG"/>
        </w:rPr>
        <w:t>по</w:t>
      </w:r>
      <w:r w:rsidR="000C359B" w:rsidRPr="001D11CD">
        <w:rPr>
          <w:lang w:val="bg-BG"/>
        </w:rPr>
        <w:t xml:space="preserve"> настоящото дело </w:t>
      </w:r>
      <w:r w:rsidR="00076315" w:rsidRPr="001D11CD">
        <w:rPr>
          <w:lang w:val="bg-BG"/>
        </w:rPr>
        <w:t xml:space="preserve">е </w:t>
      </w:r>
      <w:r w:rsidR="000C359B" w:rsidRPr="001D11CD">
        <w:rPr>
          <w:lang w:val="bg-BG"/>
        </w:rPr>
        <w:t>говори</w:t>
      </w:r>
      <w:r w:rsidR="00076315" w:rsidRPr="001D11CD">
        <w:rPr>
          <w:lang w:val="bg-BG"/>
        </w:rPr>
        <w:t>л</w:t>
      </w:r>
      <w:r w:rsidR="000C359B" w:rsidRPr="001D11CD">
        <w:rPr>
          <w:lang w:val="bg-BG"/>
        </w:rPr>
        <w:t xml:space="preserve"> на турски пред събрание, включващо хора, които не разбират този език. И накрая, </w:t>
      </w:r>
      <w:r w:rsidR="001D11CD" w:rsidRPr="001D11CD">
        <w:rPr>
          <w:lang w:val="bg-BG"/>
        </w:rPr>
        <w:t>П</w:t>
      </w:r>
      <w:r w:rsidR="000C359B" w:rsidRPr="001D11CD">
        <w:rPr>
          <w:lang w:val="bg-BG"/>
        </w:rPr>
        <w:t xml:space="preserve">равителството счита, че </w:t>
      </w:r>
      <w:r w:rsidR="00BA5BBA" w:rsidRPr="001D11CD">
        <w:rPr>
          <w:lang w:val="bg-BG"/>
        </w:rPr>
        <w:t>в конкретния случай</w:t>
      </w:r>
      <w:r w:rsidR="000C359B" w:rsidRPr="001D11CD">
        <w:rPr>
          <w:lang w:val="bg-BG"/>
        </w:rPr>
        <w:t xml:space="preserve"> националните съдилища са </w:t>
      </w:r>
      <w:r w:rsidR="00BA5BBA" w:rsidRPr="001D11CD">
        <w:rPr>
          <w:lang w:val="bg-BG"/>
        </w:rPr>
        <w:t>направили проверка</w:t>
      </w:r>
      <w:r w:rsidR="000C359B" w:rsidRPr="001D11CD">
        <w:rPr>
          <w:lang w:val="bg-BG"/>
        </w:rPr>
        <w:t xml:space="preserve"> на пропорционалността, к</w:t>
      </w:r>
      <w:r w:rsidR="00BA5BBA" w:rsidRPr="001D11CD">
        <w:rPr>
          <w:lang w:val="bg-BG"/>
        </w:rPr>
        <w:t xml:space="preserve">аквато </w:t>
      </w:r>
      <w:r w:rsidR="000C359B" w:rsidRPr="001D11CD">
        <w:rPr>
          <w:lang w:val="bg-BG"/>
        </w:rPr>
        <w:t xml:space="preserve">не са могли да направят </w:t>
      </w:r>
      <w:r w:rsidR="00BA5BBA" w:rsidRPr="001D11CD">
        <w:rPr>
          <w:lang w:val="bg-BG"/>
        </w:rPr>
        <w:t>турските съдилища по</w:t>
      </w:r>
      <w:r w:rsidR="000C359B" w:rsidRPr="001D11CD">
        <w:rPr>
          <w:lang w:val="bg-BG"/>
        </w:rPr>
        <w:t xml:space="preserve"> въпросното дело</w:t>
      </w:r>
      <w:r w:rsidR="00BA5BBA" w:rsidRPr="001D11CD">
        <w:rPr>
          <w:lang w:val="bg-BG"/>
        </w:rPr>
        <w:t>, тъй като а</w:t>
      </w:r>
      <w:r w:rsidR="000C359B" w:rsidRPr="001D11CD">
        <w:rPr>
          <w:lang w:val="bg-BG"/>
        </w:rPr>
        <w:t>бсолютната законова забрана да се говори език, различен от турски</w:t>
      </w:r>
      <w:r w:rsidR="00BA5BBA" w:rsidRPr="001D11CD">
        <w:rPr>
          <w:lang w:val="bg-BG"/>
        </w:rPr>
        <w:t>я</w:t>
      </w:r>
      <w:r w:rsidR="000C359B" w:rsidRPr="001D11CD">
        <w:rPr>
          <w:lang w:val="bg-BG"/>
        </w:rPr>
        <w:t xml:space="preserve">, </w:t>
      </w:r>
      <w:r w:rsidR="00BA5BBA" w:rsidRPr="001D11CD">
        <w:rPr>
          <w:lang w:val="bg-BG"/>
        </w:rPr>
        <w:t xml:space="preserve">не им </w:t>
      </w:r>
      <w:r w:rsidR="000C359B" w:rsidRPr="001D11CD">
        <w:rPr>
          <w:lang w:val="bg-BG"/>
        </w:rPr>
        <w:t xml:space="preserve">е </w:t>
      </w:r>
      <w:r w:rsidR="00BA5BBA" w:rsidRPr="001D11CD">
        <w:rPr>
          <w:lang w:val="bg-BG"/>
        </w:rPr>
        <w:t>позволила да направят подобна проверка</w:t>
      </w:r>
      <w:r w:rsidR="000C359B" w:rsidRPr="001D11CD">
        <w:rPr>
          <w:lang w:val="bg-BG"/>
        </w:rPr>
        <w:t>.</w:t>
      </w:r>
    </w:p>
    <w:p w14:paraId="2B84241C" w14:textId="627C7F35" w:rsidR="000B760F" w:rsidRPr="001D11CD" w:rsidRDefault="00D177F2" w:rsidP="000B760F">
      <w:pPr>
        <w:pStyle w:val="JuH1"/>
        <w:rPr>
          <w:lang w:val="bg-BG"/>
        </w:rPr>
      </w:pPr>
      <w:r w:rsidRPr="001D11CD">
        <w:rPr>
          <w:lang w:val="bg-BG"/>
        </w:rPr>
        <w:t xml:space="preserve">Преценка </w:t>
      </w:r>
      <w:r w:rsidR="00BA5BBA" w:rsidRPr="001D11CD">
        <w:rPr>
          <w:lang w:val="bg-BG"/>
        </w:rPr>
        <w:t>на С</w:t>
      </w:r>
      <w:r w:rsidRPr="001D11CD">
        <w:rPr>
          <w:lang w:val="bg-BG"/>
        </w:rPr>
        <w:t>ъда</w:t>
      </w:r>
    </w:p>
    <w:p w14:paraId="076A0CC2" w14:textId="1C316B9F" w:rsidR="000B760F" w:rsidRPr="001D11CD" w:rsidRDefault="002D4D64" w:rsidP="000B760F">
      <w:pPr>
        <w:pStyle w:val="JuHa0"/>
        <w:rPr>
          <w:lang w:val="bg-BG"/>
        </w:rPr>
      </w:pPr>
      <w:r w:rsidRPr="001D11CD">
        <w:rPr>
          <w:lang w:val="bg-BG"/>
        </w:rPr>
        <w:t>Относно</w:t>
      </w:r>
      <w:r w:rsidR="00BA5BBA" w:rsidRPr="001D11CD">
        <w:rPr>
          <w:lang w:val="bg-BG"/>
        </w:rPr>
        <w:t xml:space="preserve"> наличието на намеса </w:t>
      </w:r>
    </w:p>
    <w:p w14:paraId="32F2E7A6" w14:textId="1C6BBE8E" w:rsidR="00453323"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47</w:t>
      </w:r>
      <w:r w:rsidRPr="001D11CD">
        <w:rPr>
          <w:lang w:val="bg-BG"/>
        </w:rPr>
        <w:fldChar w:fldCharType="end"/>
      </w:r>
      <w:r w:rsidRPr="001D11CD">
        <w:rPr>
          <w:lang w:val="bg-BG"/>
        </w:rPr>
        <w:t>.  </w:t>
      </w:r>
      <w:r w:rsidR="007D33E1" w:rsidRPr="001D11CD">
        <w:rPr>
          <w:lang w:val="bg-BG"/>
        </w:rPr>
        <w:t>Съдът</w:t>
      </w:r>
      <w:r w:rsidRPr="001D11CD">
        <w:rPr>
          <w:lang w:val="bg-BG"/>
        </w:rPr>
        <w:t xml:space="preserve"> </w:t>
      </w:r>
      <w:r w:rsidR="00BA5BBA" w:rsidRPr="001D11CD">
        <w:rPr>
          <w:lang w:val="bg-BG"/>
        </w:rPr>
        <w:t xml:space="preserve">отбелязва, че след </w:t>
      </w:r>
      <w:r w:rsidR="00FE2672" w:rsidRPr="001D11CD">
        <w:rPr>
          <w:lang w:val="bg-BG"/>
        </w:rPr>
        <w:t>административното</w:t>
      </w:r>
      <w:r w:rsidR="00BA5BBA" w:rsidRPr="001D11CD">
        <w:rPr>
          <w:lang w:val="bg-BG"/>
        </w:rPr>
        <w:t xml:space="preserve"> </w:t>
      </w:r>
      <w:r w:rsidR="00D177F2" w:rsidRPr="001D11CD">
        <w:rPr>
          <w:lang w:val="bg-BG"/>
        </w:rPr>
        <w:t>производство</w:t>
      </w:r>
      <w:r w:rsidR="00BA5BBA" w:rsidRPr="001D11CD">
        <w:rPr>
          <w:lang w:val="bg-BG"/>
        </w:rPr>
        <w:t xml:space="preserve">, образувано срещу </w:t>
      </w:r>
      <w:r w:rsidR="000C7FEC" w:rsidRPr="001D11CD">
        <w:rPr>
          <w:lang w:val="bg-BG"/>
        </w:rPr>
        <w:t>жалбоподателя</w:t>
      </w:r>
      <w:r w:rsidRPr="001D11CD">
        <w:rPr>
          <w:lang w:val="bg-BG"/>
        </w:rPr>
        <w:t xml:space="preserve"> </w:t>
      </w:r>
      <w:r w:rsidR="0007409E" w:rsidRPr="001D11CD">
        <w:rPr>
          <w:lang w:val="bg-BG"/>
        </w:rPr>
        <w:t>с мотива, че</w:t>
      </w:r>
      <w:r w:rsidRPr="001D11CD">
        <w:rPr>
          <w:lang w:val="bg-BG"/>
        </w:rPr>
        <w:t xml:space="preserve"> </w:t>
      </w:r>
      <w:r w:rsidR="00BA5BBA" w:rsidRPr="001D11CD">
        <w:rPr>
          <w:lang w:val="bg-BG"/>
        </w:rPr>
        <w:t xml:space="preserve">той е говорил на </w:t>
      </w:r>
      <w:r w:rsidR="0007409E" w:rsidRPr="001D11CD">
        <w:rPr>
          <w:lang w:val="bg-BG"/>
        </w:rPr>
        <w:t>турски</w:t>
      </w:r>
      <w:r w:rsidRPr="001D11CD">
        <w:rPr>
          <w:lang w:val="bg-BG"/>
        </w:rPr>
        <w:t xml:space="preserve"> </w:t>
      </w:r>
      <w:r w:rsidR="00BA5BBA" w:rsidRPr="001D11CD">
        <w:rPr>
          <w:lang w:val="bg-BG"/>
        </w:rPr>
        <w:t>по време на събитие, организирано на 5 май 2013</w:t>
      </w:r>
      <w:r w:rsidR="00B21BE0" w:rsidRPr="001D11CD">
        <w:rPr>
          <w:lang w:val="bg-BG"/>
        </w:rPr>
        <w:t> г.</w:t>
      </w:r>
      <w:r w:rsidR="00BA5BBA" w:rsidRPr="001D11CD">
        <w:rPr>
          <w:lang w:val="bg-BG"/>
        </w:rPr>
        <w:t xml:space="preserve"> край с. Ябланово в рамките на </w:t>
      </w:r>
      <w:r w:rsidR="00AA3997" w:rsidRPr="001D11CD">
        <w:rPr>
          <w:lang w:val="bg-BG"/>
        </w:rPr>
        <w:t xml:space="preserve">водена тогава от лицето </w:t>
      </w:r>
      <w:r w:rsidR="00BA5BBA" w:rsidRPr="001D11CD">
        <w:rPr>
          <w:lang w:val="bg-BG"/>
        </w:rPr>
        <w:t>предизборна кампания (параграф</w:t>
      </w:r>
      <w:r w:rsidR="00B21BE0" w:rsidRPr="001D11CD">
        <w:rPr>
          <w:lang w:val="bg-BG"/>
        </w:rPr>
        <w:t> </w:t>
      </w:r>
      <w:r w:rsidR="00BA5BBA" w:rsidRPr="001D11CD">
        <w:rPr>
          <w:lang w:val="bg-BG"/>
        </w:rPr>
        <w:t>5 по-горе), му е наложен</w:t>
      </w:r>
      <w:r w:rsidR="00AA3997" w:rsidRPr="001D11CD">
        <w:rPr>
          <w:lang w:val="bg-BG"/>
        </w:rPr>
        <w:t>о</w:t>
      </w:r>
      <w:r w:rsidR="00BA5BBA" w:rsidRPr="001D11CD">
        <w:rPr>
          <w:lang w:val="bg-BG"/>
        </w:rPr>
        <w:t xml:space="preserve"> </w:t>
      </w:r>
      <w:r w:rsidR="00FC639A" w:rsidRPr="001D11CD">
        <w:rPr>
          <w:lang w:val="bg-BG"/>
        </w:rPr>
        <w:t>административно наказание</w:t>
      </w:r>
      <w:r w:rsidR="00BF46AE" w:rsidRPr="001D11CD">
        <w:rPr>
          <w:lang w:val="bg-BG"/>
        </w:rPr>
        <w:t xml:space="preserve"> </w:t>
      </w:r>
      <w:r w:rsidR="00BA5BBA" w:rsidRPr="001D11CD">
        <w:rPr>
          <w:lang w:val="bg-BG"/>
        </w:rPr>
        <w:t xml:space="preserve">глоба в размер на 500 </w:t>
      </w:r>
      <w:r w:rsidR="0066341A" w:rsidRPr="001D11CD">
        <w:rPr>
          <w:lang w:val="bg-BG"/>
        </w:rPr>
        <w:t>лева</w:t>
      </w:r>
      <w:r w:rsidR="00BA5BBA" w:rsidRPr="001D11CD">
        <w:rPr>
          <w:lang w:val="bg-BG"/>
        </w:rPr>
        <w:t xml:space="preserve"> или </w:t>
      </w:r>
      <w:r w:rsidR="00453323" w:rsidRPr="001D11CD">
        <w:rPr>
          <w:lang w:val="bg-BG"/>
        </w:rPr>
        <w:t>приблизително</w:t>
      </w:r>
      <w:r w:rsidR="00BA5BBA" w:rsidRPr="001D11CD">
        <w:rPr>
          <w:lang w:val="bg-BG"/>
        </w:rPr>
        <w:t xml:space="preserve"> 250 евро (параграфи 8 и 9 по-горе). С оглед на гореизложеното Съдът счита, че това решение на българските власти </w:t>
      </w:r>
      <w:r w:rsidR="00453323" w:rsidRPr="001D11CD">
        <w:rPr>
          <w:lang w:val="bg-BG"/>
        </w:rPr>
        <w:t>се явява</w:t>
      </w:r>
      <w:r w:rsidR="00BA5BBA" w:rsidRPr="001D11CD">
        <w:rPr>
          <w:lang w:val="bg-BG"/>
        </w:rPr>
        <w:t xml:space="preserve"> намеса в упражняването от страна на </w:t>
      </w:r>
      <w:r w:rsidR="009913FC" w:rsidRPr="001D11CD">
        <w:rPr>
          <w:lang w:val="bg-BG"/>
        </w:rPr>
        <w:t>лицето</w:t>
      </w:r>
      <w:r w:rsidR="00BA5BBA" w:rsidRPr="001D11CD">
        <w:rPr>
          <w:lang w:val="bg-BG"/>
        </w:rPr>
        <w:t xml:space="preserve"> на правото му на свобода на изразяване на мнение.</w:t>
      </w:r>
    </w:p>
    <w:p w14:paraId="0B6DF5D0" w14:textId="077BACA2" w:rsidR="00453323"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48</w:t>
      </w:r>
      <w:r w:rsidRPr="001D11CD">
        <w:rPr>
          <w:lang w:val="bg-BG"/>
        </w:rPr>
        <w:fldChar w:fldCharType="end"/>
      </w:r>
      <w:r w:rsidRPr="001D11CD">
        <w:rPr>
          <w:lang w:val="bg-BG"/>
        </w:rPr>
        <w:t>.  </w:t>
      </w:r>
      <w:r w:rsidR="00453323" w:rsidRPr="001D11CD">
        <w:rPr>
          <w:lang w:val="bg-BG"/>
        </w:rPr>
        <w:t>Подоб</w:t>
      </w:r>
      <w:r w:rsidR="00B21BE0" w:rsidRPr="001D11CD">
        <w:rPr>
          <w:lang w:val="bg-BG"/>
        </w:rPr>
        <w:t>на намеса е в нарушение на член </w:t>
      </w:r>
      <w:r w:rsidR="00453323" w:rsidRPr="001D11CD">
        <w:rPr>
          <w:lang w:val="bg-BG"/>
        </w:rPr>
        <w:t xml:space="preserve">10, освен ако „в съответствие със закона“ тя преследва една или повече от </w:t>
      </w:r>
      <w:r w:rsidR="006405CC" w:rsidRPr="001D11CD">
        <w:rPr>
          <w:lang w:val="bg-BG"/>
        </w:rPr>
        <w:t>легитимн</w:t>
      </w:r>
      <w:r w:rsidR="00453323" w:rsidRPr="001D11CD">
        <w:rPr>
          <w:lang w:val="bg-BG"/>
        </w:rPr>
        <w:t>ите цели по алинея 2 от този член и ако наред с това е „необходима в едно демократично общество“ за постигането им.</w:t>
      </w:r>
    </w:p>
    <w:p w14:paraId="1B1EAF8D" w14:textId="02A30A06" w:rsidR="000B760F" w:rsidRPr="001D11CD" w:rsidRDefault="003D5610" w:rsidP="003D5610">
      <w:pPr>
        <w:pStyle w:val="JuHa0"/>
        <w:numPr>
          <w:ilvl w:val="0"/>
          <w:numId w:val="0"/>
        </w:numPr>
        <w:ind w:left="851" w:hanging="341"/>
        <w:rPr>
          <w:lang w:val="bg-BG"/>
        </w:rPr>
      </w:pPr>
      <w:r w:rsidRPr="001D11CD">
        <w:rPr>
          <w:lang w:val="bg-BG"/>
        </w:rPr>
        <w:t>б) По</w:t>
      </w:r>
      <w:r w:rsidR="000B760F" w:rsidRPr="001D11CD">
        <w:rPr>
          <w:lang w:val="bg-BG"/>
        </w:rPr>
        <w:t xml:space="preserve"> </w:t>
      </w:r>
      <w:r w:rsidRPr="001D11CD">
        <w:rPr>
          <w:lang w:val="bg-BG"/>
        </w:rPr>
        <w:t>въпроса дали</w:t>
      </w:r>
      <w:r w:rsidR="000B760F" w:rsidRPr="001D11CD">
        <w:rPr>
          <w:lang w:val="bg-BG"/>
        </w:rPr>
        <w:t xml:space="preserve"> </w:t>
      </w:r>
      <w:r w:rsidRPr="001D11CD">
        <w:rPr>
          <w:lang w:val="bg-BG"/>
        </w:rPr>
        <w:t>намесата е б</w:t>
      </w:r>
      <w:r w:rsidR="006405CC" w:rsidRPr="001D11CD">
        <w:rPr>
          <w:lang w:val="bg-BG"/>
        </w:rPr>
        <w:t>и</w:t>
      </w:r>
      <w:r w:rsidRPr="001D11CD">
        <w:rPr>
          <w:lang w:val="bg-BG"/>
        </w:rPr>
        <w:t>ла „предвидена от закона“</w:t>
      </w:r>
    </w:p>
    <w:bookmarkStart w:id="16" w:name="Para46"/>
    <w:p w14:paraId="03417052" w14:textId="2A71C2C5"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49</w:t>
      </w:r>
      <w:r w:rsidRPr="001D11CD">
        <w:rPr>
          <w:lang w:val="bg-BG"/>
        </w:rPr>
        <w:fldChar w:fldCharType="end"/>
      </w:r>
      <w:bookmarkEnd w:id="16"/>
      <w:r w:rsidRPr="001D11CD">
        <w:rPr>
          <w:lang w:val="bg-BG"/>
        </w:rPr>
        <w:t>.  </w:t>
      </w:r>
      <w:r w:rsidR="007D33E1" w:rsidRPr="001D11CD">
        <w:rPr>
          <w:lang w:val="bg-BG"/>
        </w:rPr>
        <w:t>Съдът</w:t>
      </w:r>
      <w:r w:rsidRPr="001D11CD">
        <w:rPr>
          <w:lang w:val="bg-BG"/>
        </w:rPr>
        <w:t xml:space="preserve"> </w:t>
      </w:r>
      <w:r w:rsidR="003D5610" w:rsidRPr="001D11CD">
        <w:rPr>
          <w:lang w:val="bg-BG"/>
        </w:rPr>
        <w:t>счита, че процесната намеса</w:t>
      </w:r>
      <w:r w:rsidRPr="001D11CD">
        <w:rPr>
          <w:lang w:val="bg-BG"/>
        </w:rPr>
        <w:t xml:space="preserve"> </w:t>
      </w:r>
      <w:r w:rsidR="003D5610" w:rsidRPr="001D11CD">
        <w:rPr>
          <w:lang w:val="bg-BG"/>
        </w:rPr>
        <w:t>е била предвидена от закона</w:t>
      </w:r>
      <w:r w:rsidRPr="001D11CD">
        <w:rPr>
          <w:lang w:val="bg-BG"/>
        </w:rPr>
        <w:t xml:space="preserve">, </w:t>
      </w:r>
      <w:r w:rsidR="003D5610" w:rsidRPr="001D11CD">
        <w:rPr>
          <w:lang w:val="bg-BG"/>
        </w:rPr>
        <w:t xml:space="preserve">по-конкретно </w:t>
      </w:r>
      <w:r w:rsidR="006405CC" w:rsidRPr="001D11CD">
        <w:rPr>
          <w:lang w:val="bg-BG"/>
        </w:rPr>
        <w:t xml:space="preserve">в </w:t>
      </w:r>
      <w:r w:rsidR="001A14B1" w:rsidRPr="001D11CD">
        <w:rPr>
          <w:lang w:val="bg-BG"/>
        </w:rPr>
        <w:t>член</w:t>
      </w:r>
      <w:r w:rsidR="003D5610" w:rsidRPr="001D11CD">
        <w:rPr>
          <w:lang w:val="bg-BG"/>
        </w:rPr>
        <w:t>ове</w:t>
      </w:r>
      <w:r w:rsidRPr="001D11CD">
        <w:rPr>
          <w:lang w:val="bg-BG"/>
        </w:rPr>
        <w:t xml:space="preserve"> 133 </w:t>
      </w:r>
      <w:r w:rsidR="003D5610" w:rsidRPr="001D11CD">
        <w:rPr>
          <w:lang w:val="bg-BG"/>
        </w:rPr>
        <w:t>и</w:t>
      </w:r>
      <w:r w:rsidRPr="001D11CD">
        <w:rPr>
          <w:lang w:val="bg-BG"/>
        </w:rPr>
        <w:t xml:space="preserve"> 299 </w:t>
      </w:r>
      <w:r w:rsidR="003504DC" w:rsidRPr="001D11CD">
        <w:rPr>
          <w:lang w:val="bg-BG"/>
        </w:rPr>
        <w:t>от Изборния кодекс</w:t>
      </w:r>
      <w:r w:rsidRPr="001D11CD">
        <w:rPr>
          <w:lang w:val="bg-BG"/>
        </w:rPr>
        <w:t xml:space="preserve"> </w:t>
      </w:r>
      <w:r w:rsidR="003D5610" w:rsidRPr="001D11CD">
        <w:rPr>
          <w:lang w:val="bg-BG"/>
        </w:rPr>
        <w:t>от</w:t>
      </w:r>
      <w:r w:rsidRPr="001D11CD">
        <w:rPr>
          <w:lang w:val="bg-BG"/>
        </w:rPr>
        <w:t xml:space="preserve"> 2011 </w:t>
      </w:r>
      <w:r w:rsidR="003D5610" w:rsidRPr="001D11CD">
        <w:rPr>
          <w:lang w:val="bg-BG"/>
        </w:rPr>
        <w:t xml:space="preserve">година </w:t>
      </w:r>
      <w:r w:rsidR="003F0761" w:rsidRPr="001D11CD">
        <w:rPr>
          <w:lang w:val="bg-BG"/>
        </w:rPr>
        <w:t xml:space="preserve">в сила по времето на </w:t>
      </w:r>
      <w:r w:rsidR="001C444A">
        <w:rPr>
          <w:lang w:val="bg-BG"/>
        </w:rPr>
        <w:t>твърдяното нарушение</w:t>
      </w:r>
      <w:r w:rsidR="001C444A" w:rsidRPr="001D11CD">
        <w:rPr>
          <w:lang w:val="bg-BG"/>
        </w:rPr>
        <w:t xml:space="preserve"> </w:t>
      </w:r>
      <w:r w:rsidRPr="001D11CD">
        <w:rPr>
          <w:bCs/>
          <w:lang w:val="bg-BG"/>
        </w:rPr>
        <w:t>(</w:t>
      </w:r>
      <w:r w:rsidR="008D42D7" w:rsidRPr="001D11CD">
        <w:rPr>
          <w:bCs/>
          <w:lang w:val="bg-BG"/>
        </w:rPr>
        <w:t>параграф</w:t>
      </w:r>
      <w:r w:rsidR="003F0761" w:rsidRPr="001D11CD">
        <w:rPr>
          <w:bCs/>
          <w:lang w:val="bg-BG"/>
        </w:rPr>
        <w:t>и</w:t>
      </w:r>
      <w:r w:rsidRPr="001D11CD">
        <w:rPr>
          <w:bCs/>
          <w:lang w:val="bg-BG"/>
        </w:rPr>
        <w:t xml:space="preserve"> </w:t>
      </w:r>
      <w:r w:rsidRPr="001D11CD">
        <w:rPr>
          <w:bCs/>
          <w:lang w:val="bg-BG"/>
        </w:rPr>
        <w:fldChar w:fldCharType="begin"/>
      </w:r>
      <w:r w:rsidRPr="001D11CD">
        <w:rPr>
          <w:bCs/>
          <w:lang w:val="bg-BG"/>
        </w:rPr>
        <w:instrText xml:space="preserve"> REF Para5 \h </w:instrText>
      </w:r>
      <w:r w:rsidRPr="001D11CD">
        <w:rPr>
          <w:bCs/>
          <w:lang w:val="bg-BG"/>
        </w:rPr>
      </w:r>
      <w:r w:rsidRPr="001D11CD">
        <w:rPr>
          <w:bCs/>
          <w:lang w:val="bg-BG"/>
        </w:rPr>
        <w:fldChar w:fldCharType="separate"/>
      </w:r>
      <w:r w:rsidRPr="001D11CD">
        <w:rPr>
          <w:lang w:val="bg-BG"/>
        </w:rPr>
        <w:t>5</w:t>
      </w:r>
      <w:r w:rsidRPr="001D11CD">
        <w:rPr>
          <w:bCs/>
          <w:lang w:val="bg-BG"/>
        </w:rPr>
        <w:fldChar w:fldCharType="end"/>
      </w:r>
      <w:r w:rsidRPr="001D11CD">
        <w:rPr>
          <w:bCs/>
          <w:lang w:val="bg-BG"/>
        </w:rPr>
        <w:t xml:space="preserve"> </w:t>
      </w:r>
      <w:r w:rsidR="003F0761" w:rsidRPr="001D11CD">
        <w:rPr>
          <w:bCs/>
          <w:lang w:val="bg-BG"/>
        </w:rPr>
        <w:t>и</w:t>
      </w:r>
      <w:r w:rsidRPr="001D11CD">
        <w:rPr>
          <w:bCs/>
          <w:lang w:val="bg-BG"/>
        </w:rPr>
        <w:t xml:space="preserve"> </w:t>
      </w:r>
      <w:r w:rsidRPr="001D11CD">
        <w:rPr>
          <w:bCs/>
          <w:lang w:val="bg-BG"/>
        </w:rPr>
        <w:fldChar w:fldCharType="begin"/>
      </w:r>
      <w:r w:rsidRPr="001D11CD">
        <w:rPr>
          <w:bCs/>
          <w:lang w:val="bg-BG"/>
        </w:rPr>
        <w:instrText xml:space="preserve"> REF Para11 \h </w:instrText>
      </w:r>
      <w:r w:rsidRPr="001D11CD">
        <w:rPr>
          <w:bCs/>
          <w:lang w:val="bg-BG"/>
        </w:rPr>
      </w:r>
      <w:r w:rsidRPr="001D11CD">
        <w:rPr>
          <w:bCs/>
          <w:lang w:val="bg-BG"/>
        </w:rPr>
        <w:fldChar w:fldCharType="separate"/>
      </w:r>
      <w:r w:rsidRPr="001D11CD">
        <w:rPr>
          <w:lang w:val="bg-BG"/>
        </w:rPr>
        <w:t>14</w:t>
      </w:r>
      <w:r w:rsidRPr="001D11CD">
        <w:rPr>
          <w:bCs/>
          <w:lang w:val="bg-BG"/>
        </w:rPr>
        <w:fldChar w:fldCharType="end"/>
      </w:r>
      <w:r w:rsidRPr="001D11CD">
        <w:rPr>
          <w:bCs/>
          <w:lang w:val="bg-BG"/>
        </w:rPr>
        <w:t xml:space="preserve"> </w:t>
      </w:r>
      <w:r w:rsidR="00D177F2" w:rsidRPr="001D11CD">
        <w:rPr>
          <w:bCs/>
          <w:lang w:val="bg-BG"/>
        </w:rPr>
        <w:t>по-горе</w:t>
      </w:r>
      <w:r w:rsidRPr="001D11CD">
        <w:rPr>
          <w:bCs/>
          <w:lang w:val="bg-BG"/>
        </w:rPr>
        <w:t>)</w:t>
      </w:r>
      <w:r w:rsidRPr="001D11CD">
        <w:rPr>
          <w:lang w:val="bg-BG"/>
        </w:rPr>
        <w:t>.</w:t>
      </w:r>
    </w:p>
    <w:p w14:paraId="007EA0D5" w14:textId="0E472DD9" w:rsidR="000B760F" w:rsidRPr="001D11CD" w:rsidRDefault="003F0761" w:rsidP="003F0761">
      <w:pPr>
        <w:pStyle w:val="JuHa0"/>
        <w:numPr>
          <w:ilvl w:val="0"/>
          <w:numId w:val="0"/>
        </w:numPr>
        <w:ind w:left="851" w:hanging="341"/>
        <w:rPr>
          <w:lang w:val="bg-BG"/>
        </w:rPr>
      </w:pPr>
      <w:r w:rsidRPr="001D11CD">
        <w:rPr>
          <w:lang w:val="bg-BG"/>
        </w:rPr>
        <w:t xml:space="preserve">в) </w:t>
      </w:r>
      <w:r w:rsidR="004E442A" w:rsidRPr="001D11CD">
        <w:rPr>
          <w:lang w:val="bg-BG"/>
        </w:rPr>
        <w:t>Преследва</w:t>
      </w:r>
      <w:r w:rsidR="006405CC" w:rsidRPr="001D11CD">
        <w:rPr>
          <w:lang w:val="bg-BG"/>
        </w:rPr>
        <w:t>ла</w:t>
      </w:r>
      <w:r w:rsidR="004E442A" w:rsidRPr="001D11CD">
        <w:rPr>
          <w:lang w:val="bg-BG"/>
        </w:rPr>
        <w:t xml:space="preserve"> ли</w:t>
      </w:r>
      <w:r w:rsidRPr="001D11CD">
        <w:rPr>
          <w:lang w:val="bg-BG"/>
        </w:rPr>
        <w:t xml:space="preserve"> </w:t>
      </w:r>
      <w:r w:rsidR="006405CC" w:rsidRPr="001D11CD">
        <w:rPr>
          <w:lang w:val="bg-BG"/>
        </w:rPr>
        <w:t xml:space="preserve">е </w:t>
      </w:r>
      <w:r w:rsidR="003D5610" w:rsidRPr="001D11CD">
        <w:rPr>
          <w:lang w:val="bg-BG"/>
        </w:rPr>
        <w:t>намеса</w:t>
      </w:r>
      <w:r w:rsidRPr="001D11CD">
        <w:rPr>
          <w:lang w:val="bg-BG"/>
        </w:rPr>
        <w:t xml:space="preserve">та </w:t>
      </w:r>
      <w:r w:rsidR="00A17B7B" w:rsidRPr="001D11CD">
        <w:rPr>
          <w:lang w:val="bg-BG"/>
        </w:rPr>
        <w:t>легитимна</w:t>
      </w:r>
      <w:r w:rsidRPr="001D11CD">
        <w:rPr>
          <w:lang w:val="bg-BG"/>
        </w:rPr>
        <w:t xml:space="preserve"> цел</w:t>
      </w:r>
    </w:p>
    <w:p w14:paraId="4E69A8D8" w14:textId="6949BAC2" w:rsidR="005D5F18"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50</w:t>
      </w:r>
      <w:r w:rsidRPr="001D11CD">
        <w:rPr>
          <w:lang w:val="bg-BG"/>
        </w:rPr>
        <w:fldChar w:fldCharType="end"/>
      </w:r>
      <w:r w:rsidR="000B760F" w:rsidRPr="001D11CD">
        <w:rPr>
          <w:lang w:val="bg-BG"/>
        </w:rPr>
        <w:t>.  </w:t>
      </w:r>
      <w:r w:rsidR="005D5F18" w:rsidRPr="001D11CD">
        <w:rPr>
          <w:lang w:val="bg-BG"/>
        </w:rPr>
        <w:t>Съдът има съмнения</w:t>
      </w:r>
      <w:r w:rsidR="004E442A" w:rsidRPr="001D11CD">
        <w:rPr>
          <w:lang w:val="bg-BG"/>
        </w:rPr>
        <w:t xml:space="preserve"> доколко</w:t>
      </w:r>
      <w:r w:rsidR="005D5F18" w:rsidRPr="001D11CD">
        <w:rPr>
          <w:lang w:val="bg-BG"/>
        </w:rPr>
        <w:t xml:space="preserve"> </w:t>
      </w:r>
      <w:r w:rsidR="004E442A" w:rsidRPr="001D11CD">
        <w:rPr>
          <w:lang w:val="bg-BG"/>
        </w:rPr>
        <w:t xml:space="preserve">може да се приеме, че </w:t>
      </w:r>
      <w:r w:rsidR="005D5F18" w:rsidRPr="001D11CD">
        <w:rPr>
          <w:lang w:val="bg-BG"/>
        </w:rPr>
        <w:t xml:space="preserve">мярката, предприета </w:t>
      </w:r>
      <w:r w:rsidR="004E442A" w:rsidRPr="001D11CD">
        <w:rPr>
          <w:lang w:val="bg-BG"/>
        </w:rPr>
        <w:t>по отношение на</w:t>
      </w:r>
      <w:r w:rsidR="005D5F18" w:rsidRPr="001D11CD">
        <w:rPr>
          <w:lang w:val="bg-BG"/>
        </w:rPr>
        <w:t xml:space="preserve"> жалбоподателя на основание Изборния кодекс (параграф 49 по-горе), е преследвала </w:t>
      </w:r>
      <w:r w:rsidR="001C444A">
        <w:rPr>
          <w:lang w:val="bg-BG"/>
        </w:rPr>
        <w:t>някои от</w:t>
      </w:r>
      <w:r w:rsidR="001C444A" w:rsidRPr="001D11CD">
        <w:rPr>
          <w:lang w:val="bg-BG"/>
        </w:rPr>
        <w:t xml:space="preserve"> </w:t>
      </w:r>
      <w:r w:rsidR="005D5F18" w:rsidRPr="001D11CD">
        <w:rPr>
          <w:lang w:val="bg-BG"/>
        </w:rPr>
        <w:t>цели</w:t>
      </w:r>
      <w:r w:rsidR="001C444A">
        <w:rPr>
          <w:lang w:val="bg-BG"/>
        </w:rPr>
        <w:t>те</w:t>
      </w:r>
      <w:r w:rsidR="005D5F18" w:rsidRPr="001D11CD">
        <w:rPr>
          <w:lang w:val="bg-BG"/>
        </w:rPr>
        <w:t>, посочени от Правителството, а именно защита на националната сигурност, териториалната цялост и обществен</w:t>
      </w:r>
      <w:r w:rsidR="00CD5B53" w:rsidRPr="001D11CD">
        <w:rPr>
          <w:lang w:val="bg-BG"/>
        </w:rPr>
        <w:t>ия ред</w:t>
      </w:r>
      <w:r w:rsidR="005D5F18" w:rsidRPr="001D11CD">
        <w:rPr>
          <w:lang w:val="bg-BG"/>
        </w:rPr>
        <w:t xml:space="preserve">. Той обаче </w:t>
      </w:r>
      <w:r w:rsidR="00564F62" w:rsidRPr="001D11CD">
        <w:rPr>
          <w:lang w:val="bg-BG"/>
        </w:rPr>
        <w:t>изхожда от предположението</w:t>
      </w:r>
      <w:r w:rsidR="005D5F18" w:rsidRPr="001D11CD">
        <w:rPr>
          <w:lang w:val="bg-BG"/>
        </w:rPr>
        <w:t xml:space="preserve">, че </w:t>
      </w:r>
      <w:r w:rsidR="00564F62" w:rsidRPr="001D11CD">
        <w:rPr>
          <w:lang w:val="bg-BG"/>
        </w:rPr>
        <w:t>е възможно в настоящия случай процесната намеса</w:t>
      </w:r>
      <w:r w:rsidR="005D5F18" w:rsidRPr="001D11CD">
        <w:rPr>
          <w:lang w:val="bg-BG"/>
        </w:rPr>
        <w:t xml:space="preserve"> да </w:t>
      </w:r>
      <w:r w:rsidR="00564F62" w:rsidRPr="001D11CD">
        <w:rPr>
          <w:lang w:val="bg-BG"/>
        </w:rPr>
        <w:t>съвпада с</w:t>
      </w:r>
      <w:r w:rsidR="005D5F18" w:rsidRPr="001D11CD">
        <w:rPr>
          <w:lang w:val="bg-BG"/>
        </w:rPr>
        <w:t xml:space="preserve"> </w:t>
      </w:r>
      <w:r w:rsidR="00564F62" w:rsidRPr="001D11CD">
        <w:rPr>
          <w:lang w:val="bg-BG"/>
        </w:rPr>
        <w:t xml:space="preserve">целта, насочена към </w:t>
      </w:r>
      <w:r w:rsidR="005D5F18" w:rsidRPr="001D11CD">
        <w:rPr>
          <w:lang w:val="bg-BG"/>
        </w:rPr>
        <w:t xml:space="preserve">защита на реда, както и </w:t>
      </w:r>
      <w:r w:rsidR="00564F62" w:rsidRPr="001D11CD">
        <w:rPr>
          <w:lang w:val="bg-BG"/>
        </w:rPr>
        <w:t xml:space="preserve">към </w:t>
      </w:r>
      <w:r w:rsidR="005D5F18" w:rsidRPr="001D11CD">
        <w:rPr>
          <w:lang w:val="bg-BG"/>
        </w:rPr>
        <w:t xml:space="preserve">защита правата на другите, и ще се съсредоточи върху въпроса дали </w:t>
      </w:r>
      <w:r w:rsidR="00EE37EE" w:rsidRPr="001D11CD">
        <w:rPr>
          <w:lang w:val="bg-BG"/>
        </w:rPr>
        <w:t xml:space="preserve">тя </w:t>
      </w:r>
      <w:r w:rsidR="005D5F18" w:rsidRPr="001D11CD">
        <w:rPr>
          <w:lang w:val="bg-BG"/>
        </w:rPr>
        <w:t xml:space="preserve">е </w:t>
      </w:r>
      <w:r w:rsidR="00EE37EE" w:rsidRPr="001D11CD">
        <w:rPr>
          <w:lang w:val="bg-BG"/>
        </w:rPr>
        <w:t xml:space="preserve">била </w:t>
      </w:r>
      <w:r w:rsidR="005D5F18" w:rsidRPr="001D11CD">
        <w:rPr>
          <w:lang w:val="bg-BG"/>
        </w:rPr>
        <w:t>„необходим</w:t>
      </w:r>
      <w:r w:rsidR="00EE37EE" w:rsidRPr="001D11CD">
        <w:rPr>
          <w:lang w:val="bg-BG"/>
        </w:rPr>
        <w:t>а</w:t>
      </w:r>
      <w:r w:rsidR="005D5F18" w:rsidRPr="001D11CD">
        <w:rPr>
          <w:lang w:val="bg-BG"/>
        </w:rPr>
        <w:t xml:space="preserve"> в едно демократично общество“.</w:t>
      </w:r>
    </w:p>
    <w:p w14:paraId="57493869" w14:textId="4C8E9159" w:rsidR="000B760F" w:rsidRPr="001D11CD" w:rsidRDefault="00EE37EE" w:rsidP="00EE37EE">
      <w:pPr>
        <w:pStyle w:val="JuHa0"/>
        <w:numPr>
          <w:ilvl w:val="0"/>
          <w:numId w:val="0"/>
        </w:numPr>
        <w:ind w:left="851" w:hanging="341"/>
        <w:rPr>
          <w:lang w:val="bg-BG"/>
        </w:rPr>
      </w:pPr>
      <w:r w:rsidRPr="001D11CD">
        <w:rPr>
          <w:lang w:val="bg-BG"/>
        </w:rPr>
        <w:t>г)</w:t>
      </w:r>
      <w:r w:rsidR="00253BDB" w:rsidRPr="001D11CD">
        <w:rPr>
          <w:lang w:val="bg-BG"/>
        </w:rPr>
        <w:t xml:space="preserve"> „Необходима в едно демократично общество“ ли е </w:t>
      </w:r>
      <w:r w:rsidR="003D5610" w:rsidRPr="001D11CD">
        <w:rPr>
          <w:lang w:val="bg-BG"/>
        </w:rPr>
        <w:t>намеса</w:t>
      </w:r>
      <w:r w:rsidR="00253BDB" w:rsidRPr="001D11CD">
        <w:rPr>
          <w:lang w:val="bg-BG"/>
        </w:rPr>
        <w:t>та</w:t>
      </w:r>
      <w:r w:rsidR="000B760F" w:rsidRPr="001D11CD">
        <w:rPr>
          <w:lang w:val="bg-BG"/>
        </w:rPr>
        <w:t xml:space="preserve"> </w:t>
      </w:r>
    </w:p>
    <w:p w14:paraId="2F05FB14" w14:textId="5E5E0B35"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51</w:t>
      </w:r>
      <w:r w:rsidRPr="001D11CD">
        <w:rPr>
          <w:lang w:val="bg-BG"/>
        </w:rPr>
        <w:fldChar w:fldCharType="end"/>
      </w:r>
      <w:r w:rsidRPr="001D11CD">
        <w:rPr>
          <w:lang w:val="bg-BG"/>
        </w:rPr>
        <w:t>.  </w:t>
      </w:r>
      <w:r w:rsidR="00227180" w:rsidRPr="001D11CD">
        <w:rPr>
          <w:lang w:val="bg-BG"/>
        </w:rPr>
        <w:t>Общите принципи</w:t>
      </w:r>
      <w:r w:rsidR="00253BDB" w:rsidRPr="001D11CD">
        <w:rPr>
          <w:lang w:val="bg-BG"/>
        </w:rPr>
        <w:t xml:space="preserve">, позволяващи </w:t>
      </w:r>
      <w:r w:rsidR="001C444A" w:rsidRPr="001D11CD">
        <w:rPr>
          <w:lang w:val="bg-BG"/>
        </w:rPr>
        <w:t>д</w:t>
      </w:r>
      <w:r w:rsidR="001C444A">
        <w:rPr>
          <w:lang w:val="bg-BG"/>
        </w:rPr>
        <w:t>а</w:t>
      </w:r>
      <w:r w:rsidR="001C444A" w:rsidRPr="001D11CD">
        <w:rPr>
          <w:lang w:val="bg-BG"/>
        </w:rPr>
        <w:t xml:space="preserve"> </w:t>
      </w:r>
      <w:r w:rsidR="00253BDB" w:rsidRPr="001D11CD">
        <w:rPr>
          <w:lang w:val="bg-BG"/>
        </w:rPr>
        <w:t xml:space="preserve">се прецени необходимостта от намеса в </w:t>
      </w:r>
      <w:r w:rsidR="003D69A3" w:rsidRPr="001D11CD">
        <w:rPr>
          <w:lang w:val="bg-BG"/>
        </w:rPr>
        <w:t>упражняването на с</w:t>
      </w:r>
      <w:r w:rsidR="000F0360" w:rsidRPr="001D11CD">
        <w:rPr>
          <w:lang w:val="bg-BG"/>
        </w:rPr>
        <w:t>вобода</w:t>
      </w:r>
      <w:r w:rsidR="003D69A3" w:rsidRPr="001D11CD">
        <w:rPr>
          <w:lang w:val="bg-BG"/>
        </w:rPr>
        <w:t>та</w:t>
      </w:r>
      <w:r w:rsidR="000F0360" w:rsidRPr="001D11CD">
        <w:rPr>
          <w:lang w:val="bg-BG"/>
        </w:rPr>
        <w:t xml:space="preserve"> на изразяване на мнение</w:t>
      </w:r>
      <w:r w:rsidRPr="001D11CD">
        <w:rPr>
          <w:lang w:val="bg-BG"/>
        </w:rPr>
        <w:t xml:space="preserve">, </w:t>
      </w:r>
      <w:r w:rsidR="003D69A3" w:rsidRPr="001D11CD">
        <w:rPr>
          <w:lang w:val="bg-BG"/>
        </w:rPr>
        <w:t>много пъти</w:t>
      </w:r>
      <w:r w:rsidRPr="001D11CD">
        <w:rPr>
          <w:lang w:val="bg-BG"/>
        </w:rPr>
        <w:t xml:space="preserve"> </w:t>
      </w:r>
      <w:r w:rsidR="003D69A3" w:rsidRPr="001D11CD">
        <w:rPr>
          <w:lang w:val="bg-BG"/>
        </w:rPr>
        <w:t>препотвърждавани от</w:t>
      </w:r>
      <w:r w:rsidRPr="001D11CD">
        <w:rPr>
          <w:lang w:val="bg-BG"/>
        </w:rPr>
        <w:t xml:space="preserve"> </w:t>
      </w:r>
      <w:r w:rsidR="007D33E1" w:rsidRPr="001D11CD">
        <w:rPr>
          <w:lang w:val="bg-BG"/>
        </w:rPr>
        <w:t>Съд</w:t>
      </w:r>
      <w:r w:rsidR="003D69A3" w:rsidRPr="001D11CD">
        <w:rPr>
          <w:lang w:val="bg-BG"/>
        </w:rPr>
        <w:t>а</w:t>
      </w:r>
      <w:r w:rsidRPr="001D11CD">
        <w:rPr>
          <w:lang w:val="bg-BG"/>
        </w:rPr>
        <w:t xml:space="preserve"> </w:t>
      </w:r>
      <w:r w:rsidR="003D69A3" w:rsidRPr="001D11CD">
        <w:rPr>
          <w:lang w:val="bg-BG"/>
        </w:rPr>
        <w:t xml:space="preserve">след </w:t>
      </w:r>
      <w:r w:rsidR="00607AD8" w:rsidRPr="001D11CD">
        <w:rPr>
          <w:lang w:val="bg-BG"/>
        </w:rPr>
        <w:t>решение</w:t>
      </w:r>
      <w:r w:rsidR="003D69A3" w:rsidRPr="001D11CD">
        <w:rPr>
          <w:lang w:val="bg-BG"/>
        </w:rPr>
        <w:t>то</w:t>
      </w:r>
      <w:r w:rsidRPr="001D11CD">
        <w:rPr>
          <w:lang w:val="bg-BG"/>
        </w:rPr>
        <w:t xml:space="preserve"> </w:t>
      </w:r>
      <w:proofErr w:type="spellStart"/>
      <w:r w:rsidR="005B7F1D" w:rsidRPr="001D11CD">
        <w:rPr>
          <w:i/>
          <w:lang w:val="bg-BG"/>
        </w:rPr>
        <w:t>Хендисайд</w:t>
      </w:r>
      <w:proofErr w:type="spellEnd"/>
      <w:r w:rsidR="005B7F1D" w:rsidRPr="001D11CD">
        <w:rPr>
          <w:i/>
          <w:lang w:val="bg-BG"/>
        </w:rPr>
        <w:t xml:space="preserve"> срещу Обединеното кралство (</w:t>
      </w:r>
      <w:proofErr w:type="spellStart"/>
      <w:r w:rsidRPr="001D11CD">
        <w:rPr>
          <w:i/>
          <w:lang w:val="bg-BG"/>
        </w:rPr>
        <w:t>Handyside</w:t>
      </w:r>
      <w:proofErr w:type="spellEnd"/>
      <w:r w:rsidRPr="001D11CD">
        <w:rPr>
          <w:i/>
          <w:lang w:val="bg-BG"/>
        </w:rPr>
        <w:t xml:space="preserve"> c. </w:t>
      </w:r>
      <w:proofErr w:type="spellStart"/>
      <w:r w:rsidRPr="001D11CD">
        <w:rPr>
          <w:i/>
          <w:lang w:val="bg-BG"/>
        </w:rPr>
        <w:t>Royaume-Uni</w:t>
      </w:r>
      <w:proofErr w:type="spellEnd"/>
      <w:r w:rsidR="005B7F1D" w:rsidRPr="001D11CD">
        <w:rPr>
          <w:i/>
          <w:lang w:val="bg-BG"/>
        </w:rPr>
        <w:t>)</w:t>
      </w:r>
      <w:r w:rsidRPr="001D11CD">
        <w:rPr>
          <w:lang w:val="bg-BG"/>
        </w:rPr>
        <w:t xml:space="preserve"> (7 </w:t>
      </w:r>
      <w:r w:rsidR="00BF72F1" w:rsidRPr="001D11CD">
        <w:rPr>
          <w:lang w:val="bg-BG"/>
        </w:rPr>
        <w:t>декември</w:t>
      </w:r>
      <w:r w:rsidRPr="001D11CD">
        <w:rPr>
          <w:lang w:val="bg-BG"/>
        </w:rPr>
        <w:t xml:space="preserve"> 1976</w:t>
      </w:r>
      <w:r w:rsidR="00B21BE0" w:rsidRPr="001D11CD">
        <w:rPr>
          <w:lang w:val="bg-BG"/>
        </w:rPr>
        <w:t> г.</w:t>
      </w:r>
      <w:r w:rsidRPr="001D11CD">
        <w:rPr>
          <w:lang w:val="bg-BG"/>
        </w:rPr>
        <w:t xml:space="preserve">, </w:t>
      </w:r>
      <w:r w:rsidR="005B7F1D" w:rsidRPr="001D11CD">
        <w:rPr>
          <w:lang w:val="bg-BG"/>
        </w:rPr>
        <w:t>серия</w:t>
      </w:r>
      <w:r w:rsidRPr="001D11CD">
        <w:rPr>
          <w:lang w:val="bg-BG"/>
        </w:rPr>
        <w:t xml:space="preserve"> A </w:t>
      </w:r>
      <w:r w:rsidR="005B7F1D" w:rsidRPr="001D11CD">
        <w:rPr>
          <w:lang w:val="bg-BG"/>
        </w:rPr>
        <w:t>№ 2</w:t>
      </w:r>
      <w:r w:rsidRPr="001D11CD">
        <w:rPr>
          <w:lang w:val="bg-BG"/>
        </w:rPr>
        <w:t xml:space="preserve">4), </w:t>
      </w:r>
      <w:r w:rsidR="00227180" w:rsidRPr="001D11CD">
        <w:rPr>
          <w:lang w:val="bg-BG"/>
        </w:rPr>
        <w:t>са резюмирани</w:t>
      </w:r>
      <w:r w:rsidRPr="001D11CD">
        <w:rPr>
          <w:lang w:val="bg-BG"/>
        </w:rPr>
        <w:t xml:space="preserve"> </w:t>
      </w:r>
      <w:r w:rsidR="005B7F1D" w:rsidRPr="001D11CD">
        <w:rPr>
          <w:lang w:val="bg-BG"/>
        </w:rPr>
        <w:t xml:space="preserve">в </w:t>
      </w:r>
      <w:r w:rsidR="00607AD8" w:rsidRPr="001D11CD">
        <w:rPr>
          <w:lang w:val="bg-BG"/>
        </w:rPr>
        <w:t>решени</w:t>
      </w:r>
      <w:r w:rsidR="005B7F1D" w:rsidRPr="001D11CD">
        <w:rPr>
          <w:lang w:val="bg-BG"/>
        </w:rPr>
        <w:t xml:space="preserve">ята </w:t>
      </w:r>
      <w:r w:rsidR="005B7F1D" w:rsidRPr="001D11CD">
        <w:rPr>
          <w:i/>
          <w:lang w:val="bg-BG"/>
        </w:rPr>
        <w:t>Морис срещу Франция (</w:t>
      </w:r>
      <w:proofErr w:type="spellStart"/>
      <w:r w:rsidRPr="001D11CD">
        <w:rPr>
          <w:i/>
          <w:lang w:val="bg-BG"/>
        </w:rPr>
        <w:t>Morice</w:t>
      </w:r>
      <w:proofErr w:type="spellEnd"/>
      <w:r w:rsidRPr="001D11CD">
        <w:rPr>
          <w:i/>
          <w:lang w:val="bg-BG"/>
        </w:rPr>
        <w:t xml:space="preserve"> c. </w:t>
      </w:r>
      <w:proofErr w:type="spellStart"/>
      <w:r w:rsidRPr="001D11CD">
        <w:rPr>
          <w:i/>
          <w:lang w:val="bg-BG"/>
        </w:rPr>
        <w:t>France</w:t>
      </w:r>
      <w:proofErr w:type="spellEnd"/>
      <w:r w:rsidR="005B7F1D" w:rsidRPr="001D11CD">
        <w:rPr>
          <w:i/>
          <w:lang w:val="bg-BG"/>
        </w:rPr>
        <w:t>)</w:t>
      </w:r>
      <w:r w:rsidRPr="001D11CD">
        <w:rPr>
          <w:i/>
          <w:lang w:val="bg-BG"/>
        </w:rPr>
        <w:t xml:space="preserve"> </w:t>
      </w:r>
      <w:r w:rsidRPr="001D11CD">
        <w:rPr>
          <w:lang w:val="bg-BG"/>
        </w:rPr>
        <w:t>([</w:t>
      </w:r>
      <w:r w:rsidR="00174D23">
        <w:rPr>
          <w:lang w:val="en-US"/>
        </w:rPr>
        <w:t>G</w:t>
      </w:r>
      <w:r w:rsidR="00174D23" w:rsidRPr="001D11CD">
        <w:rPr>
          <w:lang w:val="bg-BG"/>
        </w:rPr>
        <w:t>С</w:t>
      </w:r>
      <w:r w:rsidRPr="001D11CD">
        <w:rPr>
          <w:lang w:val="bg-BG"/>
        </w:rPr>
        <w:t xml:space="preserve">], </w:t>
      </w:r>
      <w:r w:rsidR="005B7F1D" w:rsidRPr="001D11CD">
        <w:rPr>
          <w:lang w:val="bg-BG"/>
        </w:rPr>
        <w:t>№ 2</w:t>
      </w:r>
      <w:r w:rsidRPr="001D11CD">
        <w:rPr>
          <w:lang w:val="bg-BG"/>
        </w:rPr>
        <w:t>9369/10</w:t>
      </w:r>
      <w:r w:rsidRPr="001D11CD">
        <w:rPr>
          <w:snapToGrid w:val="0"/>
          <w:lang w:val="bg-BG"/>
        </w:rPr>
        <w:t xml:space="preserve">, § 124, </w:t>
      </w:r>
      <w:r w:rsidR="00180250" w:rsidRPr="001D11CD">
        <w:rPr>
          <w:snapToGrid w:val="0"/>
          <w:lang w:val="bg-BG"/>
        </w:rPr>
        <w:t>ЕСПЧ</w:t>
      </w:r>
      <w:r w:rsidRPr="001D11CD">
        <w:rPr>
          <w:snapToGrid w:val="0"/>
          <w:lang w:val="bg-BG"/>
        </w:rPr>
        <w:t xml:space="preserve"> 2015</w:t>
      </w:r>
      <w:r w:rsidRPr="001D11CD">
        <w:rPr>
          <w:lang w:val="bg-BG"/>
        </w:rPr>
        <w:t xml:space="preserve">), </w:t>
      </w:r>
      <w:proofErr w:type="spellStart"/>
      <w:r w:rsidR="000C6E15" w:rsidRPr="001D11CD">
        <w:rPr>
          <w:i/>
          <w:lang w:val="bg-BG"/>
        </w:rPr>
        <w:t>Пентикайнен</w:t>
      </w:r>
      <w:proofErr w:type="spellEnd"/>
      <w:r w:rsidR="000C6E15" w:rsidRPr="001D11CD">
        <w:rPr>
          <w:i/>
          <w:lang w:val="bg-BG"/>
        </w:rPr>
        <w:t xml:space="preserve"> срещу Финландия (</w:t>
      </w:r>
      <w:proofErr w:type="spellStart"/>
      <w:r w:rsidRPr="001D11CD">
        <w:rPr>
          <w:i/>
          <w:lang w:val="bg-BG"/>
        </w:rPr>
        <w:t>Pentikäinen</w:t>
      </w:r>
      <w:proofErr w:type="spellEnd"/>
      <w:r w:rsidRPr="001D11CD">
        <w:rPr>
          <w:i/>
          <w:lang w:val="bg-BG"/>
        </w:rPr>
        <w:t xml:space="preserve"> c. </w:t>
      </w:r>
      <w:proofErr w:type="spellStart"/>
      <w:r w:rsidRPr="001D11CD">
        <w:rPr>
          <w:i/>
          <w:lang w:val="bg-BG"/>
        </w:rPr>
        <w:t>Finlande</w:t>
      </w:r>
      <w:proofErr w:type="spellEnd"/>
      <w:r w:rsidR="000C6E15" w:rsidRPr="001D11CD">
        <w:rPr>
          <w:i/>
          <w:lang w:val="bg-BG"/>
        </w:rPr>
        <w:t>)</w:t>
      </w:r>
      <w:r w:rsidRPr="001D11CD">
        <w:rPr>
          <w:i/>
          <w:lang w:val="bg-BG"/>
        </w:rPr>
        <w:t xml:space="preserve"> </w:t>
      </w:r>
      <w:r w:rsidRPr="001D11CD">
        <w:rPr>
          <w:lang w:val="bg-BG"/>
        </w:rPr>
        <w:t>([</w:t>
      </w:r>
      <w:r w:rsidR="00174D23">
        <w:rPr>
          <w:lang w:val="en-US"/>
        </w:rPr>
        <w:t>G</w:t>
      </w:r>
      <w:r w:rsidR="00174D23" w:rsidRPr="001D11CD">
        <w:rPr>
          <w:lang w:val="bg-BG"/>
        </w:rPr>
        <w:t>С</w:t>
      </w:r>
      <w:r w:rsidRPr="001D11CD">
        <w:rPr>
          <w:lang w:val="bg-BG"/>
        </w:rPr>
        <w:t xml:space="preserve">], </w:t>
      </w:r>
      <w:r w:rsidR="000C6E15" w:rsidRPr="001D11CD">
        <w:rPr>
          <w:lang w:val="bg-BG"/>
        </w:rPr>
        <w:t>№ 1</w:t>
      </w:r>
      <w:r w:rsidR="00B21BE0" w:rsidRPr="001D11CD">
        <w:rPr>
          <w:lang w:val="bg-BG"/>
        </w:rPr>
        <w:t>1882/10, § </w:t>
      </w:r>
      <w:r w:rsidRPr="001D11CD">
        <w:rPr>
          <w:lang w:val="bg-BG"/>
        </w:rPr>
        <w:t xml:space="preserve">87, </w:t>
      </w:r>
      <w:r w:rsidR="00180250" w:rsidRPr="001D11CD">
        <w:rPr>
          <w:lang w:val="bg-BG"/>
        </w:rPr>
        <w:t>ЕСПЧ</w:t>
      </w:r>
      <w:r w:rsidRPr="001D11CD">
        <w:rPr>
          <w:lang w:val="bg-BG"/>
        </w:rPr>
        <w:t xml:space="preserve"> 2015</w:t>
      </w:r>
      <w:r w:rsidR="00B21BE0" w:rsidRPr="001D11CD">
        <w:rPr>
          <w:lang w:val="bg-BG"/>
        </w:rPr>
        <w:t> г.</w:t>
      </w:r>
      <w:r w:rsidRPr="001D11CD">
        <w:rPr>
          <w:lang w:val="bg-BG"/>
        </w:rPr>
        <w:t xml:space="preserve">) </w:t>
      </w:r>
      <w:r w:rsidR="000C6E15" w:rsidRPr="001D11CD">
        <w:rPr>
          <w:lang w:val="bg-BG"/>
        </w:rPr>
        <w:t>и</w:t>
      </w:r>
      <w:r w:rsidRPr="001D11CD">
        <w:rPr>
          <w:lang w:val="bg-BG"/>
        </w:rPr>
        <w:t xml:space="preserve"> </w:t>
      </w:r>
      <w:r w:rsidR="000C6E15" w:rsidRPr="001D11CD">
        <w:rPr>
          <w:i/>
          <w:lang w:val="bg-BG"/>
        </w:rPr>
        <w:t>Беда срещу Швейцария (</w:t>
      </w:r>
      <w:proofErr w:type="spellStart"/>
      <w:r w:rsidRPr="001D11CD">
        <w:rPr>
          <w:i/>
          <w:iCs/>
          <w:lang w:val="bg-BG"/>
        </w:rPr>
        <w:t>Bédat</w:t>
      </w:r>
      <w:proofErr w:type="spellEnd"/>
      <w:r w:rsidRPr="001D11CD">
        <w:rPr>
          <w:i/>
          <w:iCs/>
          <w:lang w:val="bg-BG"/>
        </w:rPr>
        <w:t xml:space="preserve"> c. </w:t>
      </w:r>
      <w:proofErr w:type="spellStart"/>
      <w:r w:rsidRPr="001D11CD">
        <w:rPr>
          <w:i/>
          <w:iCs/>
          <w:lang w:val="bg-BG"/>
        </w:rPr>
        <w:t>Suisse</w:t>
      </w:r>
      <w:proofErr w:type="spellEnd"/>
      <w:r w:rsidR="000C6E15" w:rsidRPr="001D11CD">
        <w:rPr>
          <w:i/>
          <w:iCs/>
          <w:lang w:val="bg-BG"/>
        </w:rPr>
        <w:t>)</w:t>
      </w:r>
      <w:r w:rsidRPr="001D11CD">
        <w:rPr>
          <w:lang w:val="bg-BG"/>
        </w:rPr>
        <w:t xml:space="preserve"> ([</w:t>
      </w:r>
      <w:r w:rsidR="00174D23">
        <w:rPr>
          <w:lang w:val="en-US"/>
        </w:rPr>
        <w:t>G</w:t>
      </w:r>
      <w:r w:rsidR="00174D23" w:rsidRPr="001D11CD">
        <w:rPr>
          <w:lang w:val="bg-BG"/>
        </w:rPr>
        <w:t>С</w:t>
      </w:r>
      <w:r w:rsidRPr="001D11CD">
        <w:rPr>
          <w:lang w:val="bg-BG"/>
        </w:rPr>
        <w:t xml:space="preserve">], </w:t>
      </w:r>
      <w:r w:rsidR="000C6E15" w:rsidRPr="001D11CD">
        <w:rPr>
          <w:lang w:val="bg-BG"/>
        </w:rPr>
        <w:t>№</w:t>
      </w:r>
      <w:r w:rsidR="00B21BE0" w:rsidRPr="001D11CD">
        <w:rPr>
          <w:lang w:val="bg-BG"/>
        </w:rPr>
        <w:t> </w:t>
      </w:r>
      <w:r w:rsidR="000C6E15" w:rsidRPr="001D11CD">
        <w:rPr>
          <w:lang w:val="bg-BG"/>
        </w:rPr>
        <w:t>5</w:t>
      </w:r>
      <w:r w:rsidRPr="001D11CD">
        <w:rPr>
          <w:lang w:val="bg-BG"/>
        </w:rPr>
        <w:t>6925/08, §§ 48</w:t>
      </w:r>
      <w:r w:rsidR="00B21BE0" w:rsidRPr="001D11CD">
        <w:rPr>
          <w:lang w:val="bg-BG"/>
        </w:rPr>
        <w:t>–</w:t>
      </w:r>
      <w:r w:rsidRPr="001D11CD">
        <w:rPr>
          <w:lang w:val="bg-BG"/>
        </w:rPr>
        <w:t xml:space="preserve">49 </w:t>
      </w:r>
      <w:r w:rsidR="000C6E15" w:rsidRPr="001D11CD">
        <w:rPr>
          <w:lang w:val="bg-BG"/>
        </w:rPr>
        <w:t>и</w:t>
      </w:r>
      <w:r w:rsidRPr="001D11CD">
        <w:rPr>
          <w:lang w:val="bg-BG"/>
        </w:rPr>
        <w:t xml:space="preserve"> § 54, 29 </w:t>
      </w:r>
      <w:r w:rsidR="00CC2212" w:rsidRPr="001D11CD">
        <w:rPr>
          <w:lang w:val="bg-BG"/>
        </w:rPr>
        <w:t>март</w:t>
      </w:r>
      <w:r w:rsidRPr="001D11CD">
        <w:rPr>
          <w:lang w:val="bg-BG"/>
        </w:rPr>
        <w:t xml:space="preserve"> 2016</w:t>
      </w:r>
      <w:r w:rsidR="00B21BE0" w:rsidRPr="001D11CD">
        <w:rPr>
          <w:lang w:val="bg-BG"/>
        </w:rPr>
        <w:t> г.</w:t>
      </w:r>
      <w:r w:rsidRPr="001D11CD">
        <w:rPr>
          <w:lang w:val="bg-BG"/>
        </w:rPr>
        <w:t xml:space="preserve">). </w:t>
      </w:r>
      <w:r w:rsidR="00B506EB" w:rsidRPr="001D11CD">
        <w:rPr>
          <w:lang w:val="bg-BG"/>
        </w:rPr>
        <w:t xml:space="preserve">По-специално </w:t>
      </w:r>
      <w:r w:rsidR="005D5F18" w:rsidRPr="001D11CD">
        <w:rPr>
          <w:lang w:val="bg-BG"/>
        </w:rPr>
        <w:t>критерият „необходимост в едно демократично общество</w:t>
      </w:r>
      <w:r w:rsidR="00B21BE0" w:rsidRPr="001D11CD">
        <w:rPr>
          <w:lang w:val="bg-BG"/>
        </w:rPr>
        <w:t>“</w:t>
      </w:r>
      <w:r w:rsidR="005D5F18" w:rsidRPr="001D11CD">
        <w:rPr>
          <w:lang w:val="bg-BG"/>
        </w:rPr>
        <w:t xml:space="preserve"> изисква Съдът да определи дали </w:t>
      </w:r>
      <w:r w:rsidR="000C6E15" w:rsidRPr="001D11CD">
        <w:rPr>
          <w:lang w:val="bg-BG"/>
        </w:rPr>
        <w:t>процесната намеса</w:t>
      </w:r>
      <w:r w:rsidR="005D5F18" w:rsidRPr="001D11CD">
        <w:rPr>
          <w:lang w:val="bg-BG"/>
        </w:rPr>
        <w:t xml:space="preserve"> </w:t>
      </w:r>
      <w:r w:rsidR="000C6E15" w:rsidRPr="001D11CD">
        <w:rPr>
          <w:lang w:val="bg-BG"/>
        </w:rPr>
        <w:t>съответства на</w:t>
      </w:r>
      <w:r w:rsidR="005D5F18" w:rsidRPr="001D11CD">
        <w:rPr>
          <w:lang w:val="bg-BG"/>
        </w:rPr>
        <w:t xml:space="preserve"> „належаща обществена необходимост</w:t>
      </w:r>
      <w:r w:rsidR="00B21BE0" w:rsidRPr="001D11CD">
        <w:rPr>
          <w:lang w:val="bg-BG"/>
        </w:rPr>
        <w:t>“</w:t>
      </w:r>
      <w:r w:rsidR="005D5F18" w:rsidRPr="001D11CD">
        <w:rPr>
          <w:lang w:val="bg-BG"/>
        </w:rPr>
        <w:t>. Договарящите държави се ползват с известна свобода на преценка</w:t>
      </w:r>
      <w:r w:rsidR="000C6E15" w:rsidRPr="001D11CD">
        <w:rPr>
          <w:lang w:val="bg-BG"/>
        </w:rPr>
        <w:t xml:space="preserve">, когато трябва да </w:t>
      </w:r>
      <w:r w:rsidR="00B506EB" w:rsidRPr="001D11CD">
        <w:rPr>
          <w:lang w:val="bg-BG"/>
        </w:rPr>
        <w:t>о</w:t>
      </w:r>
      <w:r w:rsidR="000C6E15" w:rsidRPr="001D11CD">
        <w:rPr>
          <w:lang w:val="bg-BG"/>
        </w:rPr>
        <w:t xml:space="preserve">ценят </w:t>
      </w:r>
      <w:r w:rsidR="005D5F18" w:rsidRPr="001D11CD">
        <w:rPr>
          <w:lang w:val="bg-BG"/>
        </w:rPr>
        <w:t>съществуването на такава необходимост, но тази свобода върви ръка за ръка с контрол</w:t>
      </w:r>
      <w:r w:rsidR="001C444A">
        <w:rPr>
          <w:lang w:val="bg-BG"/>
        </w:rPr>
        <w:t xml:space="preserve"> на </w:t>
      </w:r>
      <w:r w:rsidR="001C444A" w:rsidRPr="001D11CD">
        <w:rPr>
          <w:lang w:val="bg-BG"/>
        </w:rPr>
        <w:t>европейск</w:t>
      </w:r>
      <w:r w:rsidR="001C444A">
        <w:rPr>
          <w:lang w:val="bg-BG"/>
        </w:rPr>
        <w:t>о ниво</w:t>
      </w:r>
      <w:r w:rsidR="005D5F18" w:rsidRPr="001D11CD">
        <w:rPr>
          <w:lang w:val="bg-BG"/>
        </w:rPr>
        <w:t xml:space="preserve">, обхващащ както закона, така и решенията, взети </w:t>
      </w:r>
      <w:r w:rsidR="00C55AD0" w:rsidRPr="001D11CD">
        <w:rPr>
          <w:lang w:val="bg-BG"/>
        </w:rPr>
        <w:t>в негово изпълнение</w:t>
      </w:r>
      <w:r w:rsidR="005D5F18" w:rsidRPr="001D11CD">
        <w:rPr>
          <w:lang w:val="bg-BG"/>
        </w:rPr>
        <w:t xml:space="preserve"> дори когато те произтичат от </w:t>
      </w:r>
      <w:r w:rsidR="001C444A" w:rsidRPr="001D11CD">
        <w:rPr>
          <w:lang w:val="bg-BG"/>
        </w:rPr>
        <w:t>независим</w:t>
      </w:r>
      <w:r w:rsidR="001C444A">
        <w:rPr>
          <w:lang w:val="bg-BG"/>
        </w:rPr>
        <w:t>а</w:t>
      </w:r>
      <w:r w:rsidR="001C444A" w:rsidRPr="001D11CD">
        <w:rPr>
          <w:lang w:val="bg-BG"/>
        </w:rPr>
        <w:t xml:space="preserve"> </w:t>
      </w:r>
      <w:r w:rsidR="001C444A">
        <w:rPr>
          <w:lang w:val="bg-BG"/>
        </w:rPr>
        <w:t>юрисдикция</w:t>
      </w:r>
      <w:r w:rsidR="005D5F18" w:rsidRPr="001D11CD">
        <w:rPr>
          <w:lang w:val="bg-BG"/>
        </w:rPr>
        <w:t xml:space="preserve">. Следователно Съдът има </w:t>
      </w:r>
      <w:r w:rsidR="00C55AD0" w:rsidRPr="001D11CD">
        <w:rPr>
          <w:lang w:val="bg-BG"/>
        </w:rPr>
        <w:t>правомощието</w:t>
      </w:r>
      <w:r w:rsidR="005D5F18" w:rsidRPr="001D11CD">
        <w:rPr>
          <w:lang w:val="bg-BG"/>
        </w:rPr>
        <w:t xml:space="preserve"> да се произн</w:t>
      </w:r>
      <w:r w:rsidR="00C55AD0" w:rsidRPr="001D11CD">
        <w:rPr>
          <w:lang w:val="bg-BG"/>
        </w:rPr>
        <w:t>ася</w:t>
      </w:r>
      <w:r w:rsidR="005D5F18" w:rsidRPr="001D11CD">
        <w:rPr>
          <w:lang w:val="bg-BG"/>
        </w:rPr>
        <w:t xml:space="preserve"> </w:t>
      </w:r>
      <w:r w:rsidR="00C55AD0" w:rsidRPr="001D11CD">
        <w:rPr>
          <w:lang w:val="bg-BG"/>
        </w:rPr>
        <w:t>последен</w:t>
      </w:r>
      <w:r w:rsidR="005D5F18" w:rsidRPr="001D11CD">
        <w:rPr>
          <w:lang w:val="bg-BG"/>
        </w:rPr>
        <w:t xml:space="preserve"> дали дадено „ограничение“ е съвместимо със свободата на изразяване на мнение, защитена от член 10</w:t>
      </w:r>
      <w:r w:rsidR="00C55AD0" w:rsidRPr="001D11CD">
        <w:rPr>
          <w:lang w:val="bg-BG"/>
        </w:rPr>
        <w:t xml:space="preserve"> </w:t>
      </w:r>
      <w:r w:rsidRPr="001D11CD">
        <w:rPr>
          <w:lang w:val="bg-BG"/>
        </w:rPr>
        <w:t>(</w:t>
      </w:r>
      <w:r w:rsidR="00DA1849" w:rsidRPr="001D11CD">
        <w:rPr>
          <w:lang w:val="bg-BG"/>
        </w:rPr>
        <w:t>вж</w:t>
      </w:r>
      <w:r w:rsidR="00B21BE0" w:rsidRPr="001D11CD">
        <w:rPr>
          <w:lang w:val="bg-BG"/>
        </w:rPr>
        <w:t>.</w:t>
      </w:r>
      <w:r w:rsidRPr="001D11CD">
        <w:rPr>
          <w:lang w:val="bg-BG"/>
        </w:rPr>
        <w:t xml:space="preserve"> </w:t>
      </w:r>
      <w:r w:rsidR="003023E3" w:rsidRPr="001D11CD">
        <w:rPr>
          <w:lang w:val="bg-BG"/>
        </w:rPr>
        <w:t>наред с много други</w:t>
      </w:r>
      <w:r w:rsidRPr="001D11CD">
        <w:rPr>
          <w:lang w:val="bg-BG"/>
        </w:rPr>
        <w:t xml:space="preserve"> </w:t>
      </w:r>
      <w:bookmarkStart w:id="17" w:name="File2"/>
      <w:r w:rsidR="00C55AD0" w:rsidRPr="001D11CD">
        <w:rPr>
          <w:i/>
          <w:lang w:val="bg-BG"/>
        </w:rPr>
        <w:t>Перна срещу Италия (</w:t>
      </w:r>
      <w:proofErr w:type="spellStart"/>
      <w:r w:rsidRPr="001D11CD">
        <w:rPr>
          <w:i/>
          <w:lang w:val="bg-BG"/>
        </w:rPr>
        <w:t>Perna</w:t>
      </w:r>
      <w:bookmarkEnd w:id="17"/>
      <w:proofErr w:type="spellEnd"/>
      <w:r w:rsidRPr="001D11CD">
        <w:rPr>
          <w:i/>
          <w:lang w:val="bg-BG"/>
        </w:rPr>
        <w:t xml:space="preserve"> c. </w:t>
      </w:r>
      <w:proofErr w:type="spellStart"/>
      <w:r w:rsidRPr="001D11CD">
        <w:rPr>
          <w:i/>
          <w:lang w:val="bg-BG"/>
        </w:rPr>
        <w:t>Italie</w:t>
      </w:r>
      <w:proofErr w:type="spellEnd"/>
      <w:r w:rsidR="00C55AD0" w:rsidRPr="001D11CD">
        <w:rPr>
          <w:i/>
          <w:lang w:val="bg-BG"/>
        </w:rPr>
        <w:t>)</w:t>
      </w:r>
      <w:r w:rsidRPr="001D11CD">
        <w:rPr>
          <w:i/>
          <w:lang w:val="bg-BG"/>
        </w:rPr>
        <w:t xml:space="preserve"> </w:t>
      </w:r>
      <w:r w:rsidRPr="001D11CD">
        <w:rPr>
          <w:lang w:val="bg-BG"/>
        </w:rPr>
        <w:t>[</w:t>
      </w:r>
      <w:r w:rsidR="00174D23">
        <w:rPr>
          <w:lang w:val="en-US"/>
        </w:rPr>
        <w:t>G</w:t>
      </w:r>
      <w:r w:rsidR="00174D23" w:rsidRPr="001D11CD">
        <w:rPr>
          <w:lang w:val="bg-BG"/>
        </w:rPr>
        <w:t>С</w:t>
      </w:r>
      <w:r w:rsidRPr="001D11CD">
        <w:rPr>
          <w:lang w:val="bg-BG"/>
        </w:rPr>
        <w:t>],</w:t>
      </w:r>
      <w:r w:rsidRPr="001D11CD">
        <w:rPr>
          <w:i/>
          <w:lang w:val="bg-BG"/>
        </w:rPr>
        <w:t xml:space="preserve"> </w:t>
      </w:r>
      <w:r w:rsidR="00C55AD0" w:rsidRPr="001D11CD">
        <w:rPr>
          <w:lang w:val="bg-BG"/>
        </w:rPr>
        <w:t>№ 4</w:t>
      </w:r>
      <w:r w:rsidRPr="001D11CD">
        <w:rPr>
          <w:lang w:val="bg-BG"/>
        </w:rPr>
        <w:t xml:space="preserve">8898/99, § 39, </w:t>
      </w:r>
      <w:r w:rsidR="00180250" w:rsidRPr="001D11CD">
        <w:rPr>
          <w:lang w:val="bg-BG"/>
        </w:rPr>
        <w:t>ЕСПЧ</w:t>
      </w:r>
      <w:r w:rsidRPr="001D11CD">
        <w:rPr>
          <w:lang w:val="bg-BG"/>
        </w:rPr>
        <w:t xml:space="preserve"> 2003-V, </w:t>
      </w:r>
      <w:r w:rsidR="00C55AD0" w:rsidRPr="001D11CD">
        <w:rPr>
          <w:i/>
          <w:lang w:val="bg-BG"/>
        </w:rPr>
        <w:t xml:space="preserve">Асоциация </w:t>
      </w:r>
      <w:proofErr w:type="spellStart"/>
      <w:r w:rsidR="00C55AD0" w:rsidRPr="001D11CD">
        <w:rPr>
          <w:i/>
          <w:lang w:val="bg-BG"/>
        </w:rPr>
        <w:t>Екин</w:t>
      </w:r>
      <w:proofErr w:type="spellEnd"/>
      <w:r w:rsidR="00C55AD0" w:rsidRPr="001D11CD">
        <w:rPr>
          <w:i/>
          <w:lang w:val="bg-BG"/>
        </w:rPr>
        <w:t xml:space="preserve"> срещу Франция (</w:t>
      </w:r>
      <w:proofErr w:type="spellStart"/>
      <w:r w:rsidRPr="001D11CD">
        <w:rPr>
          <w:i/>
          <w:lang w:val="bg-BG"/>
        </w:rPr>
        <w:t>Association</w:t>
      </w:r>
      <w:proofErr w:type="spellEnd"/>
      <w:r w:rsidRPr="001D11CD">
        <w:rPr>
          <w:i/>
          <w:lang w:val="bg-BG"/>
        </w:rPr>
        <w:t xml:space="preserve"> </w:t>
      </w:r>
      <w:proofErr w:type="spellStart"/>
      <w:r w:rsidRPr="001D11CD">
        <w:rPr>
          <w:i/>
          <w:lang w:val="bg-BG"/>
        </w:rPr>
        <w:t>Ekin</w:t>
      </w:r>
      <w:proofErr w:type="spellEnd"/>
      <w:r w:rsidRPr="001D11CD">
        <w:rPr>
          <w:i/>
          <w:lang w:val="bg-BG"/>
        </w:rPr>
        <w:t xml:space="preserve"> c. </w:t>
      </w:r>
      <w:proofErr w:type="spellStart"/>
      <w:r w:rsidRPr="001D11CD">
        <w:rPr>
          <w:i/>
          <w:lang w:val="bg-BG"/>
        </w:rPr>
        <w:t>France</w:t>
      </w:r>
      <w:proofErr w:type="spellEnd"/>
      <w:r w:rsidR="00C55AD0" w:rsidRPr="001D11CD">
        <w:rPr>
          <w:i/>
          <w:lang w:val="bg-BG"/>
        </w:rPr>
        <w:t>)</w:t>
      </w:r>
      <w:r w:rsidRPr="001D11CD">
        <w:rPr>
          <w:lang w:val="bg-BG"/>
        </w:rPr>
        <w:t xml:space="preserve">, </w:t>
      </w:r>
      <w:r w:rsidR="00C55AD0" w:rsidRPr="001D11CD">
        <w:rPr>
          <w:lang w:val="bg-BG"/>
        </w:rPr>
        <w:t>№</w:t>
      </w:r>
      <w:r w:rsidR="00B21BE0" w:rsidRPr="001D11CD">
        <w:rPr>
          <w:lang w:val="bg-BG"/>
        </w:rPr>
        <w:t> </w:t>
      </w:r>
      <w:r w:rsidR="00C55AD0" w:rsidRPr="001D11CD">
        <w:rPr>
          <w:lang w:val="bg-BG"/>
        </w:rPr>
        <w:t>3</w:t>
      </w:r>
      <w:r w:rsidRPr="001D11CD">
        <w:rPr>
          <w:lang w:val="bg-BG"/>
        </w:rPr>
        <w:t xml:space="preserve">9288/98, § 56, </w:t>
      </w:r>
      <w:r w:rsidR="00180250" w:rsidRPr="001D11CD">
        <w:rPr>
          <w:lang w:val="bg-BG"/>
        </w:rPr>
        <w:t>ЕСПЧ</w:t>
      </w:r>
      <w:r w:rsidRPr="001D11CD">
        <w:rPr>
          <w:lang w:val="bg-BG"/>
        </w:rPr>
        <w:t xml:space="preserve"> 2001-VIII, </w:t>
      </w:r>
      <w:r w:rsidR="000D7852" w:rsidRPr="001D11CD">
        <w:rPr>
          <w:lang w:val="bg-BG"/>
        </w:rPr>
        <w:t>и</w:t>
      </w:r>
      <w:r w:rsidRPr="001D11CD">
        <w:rPr>
          <w:lang w:val="bg-BG"/>
        </w:rPr>
        <w:t xml:space="preserve"> </w:t>
      </w:r>
      <w:proofErr w:type="spellStart"/>
      <w:r w:rsidR="005B1B8A" w:rsidRPr="001D11CD">
        <w:rPr>
          <w:i/>
          <w:lang w:val="bg-BG"/>
        </w:rPr>
        <w:t>Шукран</w:t>
      </w:r>
      <w:proofErr w:type="spellEnd"/>
      <w:r w:rsidR="005B1B8A" w:rsidRPr="001D11CD">
        <w:rPr>
          <w:i/>
          <w:lang w:val="bg-BG"/>
        </w:rPr>
        <w:t xml:space="preserve"> Айдън</w:t>
      </w:r>
      <w:r w:rsidRPr="001D11CD">
        <w:rPr>
          <w:i/>
          <w:lang w:val="bg-BG"/>
        </w:rPr>
        <w:t xml:space="preserve"> </w:t>
      </w:r>
      <w:r w:rsidR="000D7852" w:rsidRPr="001D11CD">
        <w:rPr>
          <w:i/>
          <w:lang w:val="bg-BG"/>
        </w:rPr>
        <w:t>и</w:t>
      </w:r>
      <w:r w:rsidRPr="001D11CD">
        <w:rPr>
          <w:i/>
          <w:lang w:val="bg-BG"/>
        </w:rPr>
        <w:t xml:space="preserve"> </w:t>
      </w:r>
      <w:r w:rsidR="00B03D88" w:rsidRPr="001D11CD">
        <w:rPr>
          <w:i/>
          <w:lang w:val="bg-BG"/>
        </w:rPr>
        <w:t>други</w:t>
      </w:r>
      <w:r w:rsidRPr="001D11CD">
        <w:rPr>
          <w:iCs/>
          <w:lang w:val="bg-BG"/>
        </w:rPr>
        <w:t xml:space="preserve">, </w:t>
      </w:r>
      <w:r w:rsidR="00606C96" w:rsidRPr="001D11CD">
        <w:rPr>
          <w:lang w:val="bg-BG"/>
        </w:rPr>
        <w:t>горецитирано</w:t>
      </w:r>
      <w:r w:rsidRPr="001D11CD">
        <w:rPr>
          <w:lang w:val="bg-BG"/>
        </w:rPr>
        <w:t>, § 48).</w:t>
      </w:r>
    </w:p>
    <w:p w14:paraId="57F3768C" w14:textId="4311C841" w:rsidR="000D7852"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52</w:t>
      </w:r>
      <w:r w:rsidRPr="001D11CD">
        <w:rPr>
          <w:lang w:val="bg-BG"/>
        </w:rPr>
        <w:fldChar w:fldCharType="end"/>
      </w:r>
      <w:r w:rsidRPr="001D11CD">
        <w:rPr>
          <w:lang w:val="bg-BG"/>
        </w:rPr>
        <w:t>.  </w:t>
      </w:r>
      <w:r w:rsidR="000D7852" w:rsidRPr="001D11CD">
        <w:rPr>
          <w:lang w:val="bg-BG"/>
        </w:rPr>
        <w:t xml:space="preserve">Съдът обаче няма </w:t>
      </w:r>
      <w:r w:rsidR="00B506EB" w:rsidRPr="001D11CD">
        <w:rPr>
          <w:lang w:val="bg-BG"/>
        </w:rPr>
        <w:t xml:space="preserve">за </w:t>
      </w:r>
      <w:r w:rsidR="000D7852" w:rsidRPr="001D11CD">
        <w:rPr>
          <w:lang w:val="bg-BG"/>
        </w:rPr>
        <w:t>задача, когато упражнява този контрол, да замества компетентните национални съдилища: той трябва да провери от гледна точка на член 10 постановените от тях решения по силата на правото им на преценка (</w:t>
      </w:r>
      <w:proofErr w:type="spellStart"/>
      <w:r w:rsidR="000D7852" w:rsidRPr="001D11CD">
        <w:rPr>
          <w:i/>
          <w:lang w:val="bg-BG"/>
        </w:rPr>
        <w:t>Фресоз</w:t>
      </w:r>
      <w:proofErr w:type="spellEnd"/>
      <w:r w:rsidR="000D7852" w:rsidRPr="001D11CD">
        <w:rPr>
          <w:i/>
          <w:lang w:val="bg-BG"/>
        </w:rPr>
        <w:t xml:space="preserve"> и </w:t>
      </w:r>
      <w:proofErr w:type="spellStart"/>
      <w:r w:rsidR="000D7852" w:rsidRPr="001D11CD">
        <w:rPr>
          <w:i/>
          <w:lang w:val="bg-BG"/>
        </w:rPr>
        <w:t>Роар</w:t>
      </w:r>
      <w:proofErr w:type="spellEnd"/>
      <w:r w:rsidR="000D7852" w:rsidRPr="001D11CD">
        <w:rPr>
          <w:i/>
          <w:lang w:val="bg-BG"/>
        </w:rPr>
        <w:t xml:space="preserve"> срещу Франция (</w:t>
      </w:r>
      <w:proofErr w:type="spellStart"/>
      <w:r w:rsidR="000D7852" w:rsidRPr="001D11CD">
        <w:rPr>
          <w:i/>
          <w:lang w:val="bg-BG"/>
        </w:rPr>
        <w:t>Fressoz</w:t>
      </w:r>
      <w:proofErr w:type="spellEnd"/>
      <w:r w:rsidR="000D7852" w:rsidRPr="001D11CD">
        <w:rPr>
          <w:i/>
          <w:lang w:val="bg-BG"/>
        </w:rPr>
        <w:t xml:space="preserve"> </w:t>
      </w:r>
      <w:proofErr w:type="spellStart"/>
      <w:r w:rsidR="000D7852" w:rsidRPr="001D11CD">
        <w:rPr>
          <w:i/>
          <w:lang w:val="bg-BG"/>
        </w:rPr>
        <w:t>and</w:t>
      </w:r>
      <w:proofErr w:type="spellEnd"/>
      <w:r w:rsidR="000D7852" w:rsidRPr="001D11CD">
        <w:rPr>
          <w:i/>
          <w:lang w:val="bg-BG"/>
        </w:rPr>
        <w:t xml:space="preserve"> </w:t>
      </w:r>
      <w:proofErr w:type="spellStart"/>
      <w:r w:rsidR="000D7852" w:rsidRPr="001D11CD">
        <w:rPr>
          <w:i/>
          <w:lang w:val="bg-BG"/>
        </w:rPr>
        <w:t>Roire</w:t>
      </w:r>
      <w:proofErr w:type="spellEnd"/>
      <w:r w:rsidR="000D7852" w:rsidRPr="001D11CD">
        <w:rPr>
          <w:i/>
          <w:lang w:val="bg-BG"/>
        </w:rPr>
        <w:t xml:space="preserve"> v. </w:t>
      </w:r>
      <w:proofErr w:type="spellStart"/>
      <w:r w:rsidR="000D7852" w:rsidRPr="001D11CD">
        <w:rPr>
          <w:i/>
          <w:lang w:val="bg-BG"/>
        </w:rPr>
        <w:t>France</w:t>
      </w:r>
      <w:proofErr w:type="spellEnd"/>
      <w:r w:rsidR="000D7852" w:rsidRPr="001D11CD">
        <w:rPr>
          <w:i/>
          <w:lang w:val="bg-BG"/>
        </w:rPr>
        <w:t>)</w:t>
      </w:r>
      <w:r w:rsidR="000D7852" w:rsidRPr="001D11CD">
        <w:rPr>
          <w:lang w:val="bg-BG"/>
        </w:rPr>
        <w:t>). [</w:t>
      </w:r>
      <w:r w:rsidR="00174D23">
        <w:rPr>
          <w:lang w:val="en-US"/>
        </w:rPr>
        <w:t>G</w:t>
      </w:r>
      <w:r w:rsidR="00174D23" w:rsidRPr="001D11CD">
        <w:rPr>
          <w:lang w:val="bg-BG"/>
        </w:rPr>
        <w:t>С</w:t>
      </w:r>
      <w:r w:rsidR="000D7852" w:rsidRPr="001D11CD">
        <w:rPr>
          <w:lang w:val="bg-BG"/>
        </w:rPr>
        <w:t xml:space="preserve">], № 29183/95, § 45, ЕСПЧ 1999-I). По-специално Съдът трябва да определи дали основанията, изтъкнати от националните власти </w:t>
      </w:r>
      <w:r w:rsidR="003A72DF" w:rsidRPr="001D11CD">
        <w:rPr>
          <w:lang w:val="bg-BG"/>
        </w:rPr>
        <w:t>с</w:t>
      </w:r>
      <w:r w:rsidR="000D7852" w:rsidRPr="001D11CD">
        <w:rPr>
          <w:lang w:val="bg-BG"/>
        </w:rPr>
        <w:t xml:space="preserve"> цел</w:t>
      </w:r>
      <w:r w:rsidR="003A72DF" w:rsidRPr="001D11CD">
        <w:rPr>
          <w:lang w:val="bg-BG"/>
        </w:rPr>
        <w:t xml:space="preserve"> д</w:t>
      </w:r>
      <w:r w:rsidR="000D7852" w:rsidRPr="001D11CD">
        <w:rPr>
          <w:lang w:val="bg-BG"/>
        </w:rPr>
        <w:t>а обоснова</w:t>
      </w:r>
      <w:r w:rsidR="003A72DF" w:rsidRPr="001D11CD">
        <w:rPr>
          <w:lang w:val="bg-BG"/>
        </w:rPr>
        <w:t>т</w:t>
      </w:r>
      <w:r w:rsidR="000D7852" w:rsidRPr="001D11CD">
        <w:rPr>
          <w:lang w:val="bg-BG"/>
        </w:rPr>
        <w:t xml:space="preserve"> намесата, изглеждат „</w:t>
      </w:r>
      <w:r w:rsidR="003A72DF" w:rsidRPr="001D11CD">
        <w:rPr>
          <w:lang w:val="bg-BG"/>
        </w:rPr>
        <w:t>целесъобразни</w:t>
      </w:r>
      <w:r w:rsidR="000D7852" w:rsidRPr="001D11CD">
        <w:rPr>
          <w:lang w:val="bg-BG"/>
        </w:rPr>
        <w:t xml:space="preserve"> и достатъчни“ и дали </w:t>
      </w:r>
      <w:r w:rsidR="003A72DF" w:rsidRPr="001D11CD">
        <w:rPr>
          <w:lang w:val="bg-BG"/>
        </w:rPr>
        <w:t xml:space="preserve">процесната намеса </w:t>
      </w:r>
      <w:r w:rsidR="000D7852" w:rsidRPr="001D11CD">
        <w:rPr>
          <w:lang w:val="bg-BG"/>
        </w:rPr>
        <w:t xml:space="preserve">е „пропорционална на преследваните </w:t>
      </w:r>
      <w:r w:rsidR="003A72DF" w:rsidRPr="001D11CD">
        <w:rPr>
          <w:lang w:val="bg-BG"/>
        </w:rPr>
        <w:t>легитимни</w:t>
      </w:r>
      <w:r w:rsidR="000D7852" w:rsidRPr="001D11CD">
        <w:rPr>
          <w:lang w:val="bg-BG"/>
        </w:rPr>
        <w:t xml:space="preserve"> цели“ (</w:t>
      </w:r>
      <w:proofErr w:type="spellStart"/>
      <w:r w:rsidR="003A72DF" w:rsidRPr="001D11CD">
        <w:rPr>
          <w:i/>
          <w:lang w:val="bg-BG"/>
        </w:rPr>
        <w:t>Шови</w:t>
      </w:r>
      <w:proofErr w:type="spellEnd"/>
      <w:r w:rsidR="003A72DF" w:rsidRPr="001D11CD">
        <w:rPr>
          <w:i/>
          <w:lang w:val="bg-BG"/>
        </w:rPr>
        <w:t xml:space="preserve"> и други срещу Франция (</w:t>
      </w:r>
      <w:proofErr w:type="spellStart"/>
      <w:r w:rsidR="003A72DF" w:rsidRPr="001D11CD">
        <w:rPr>
          <w:i/>
          <w:lang w:val="bg-BG"/>
        </w:rPr>
        <w:t>Chauvy</w:t>
      </w:r>
      <w:proofErr w:type="spellEnd"/>
      <w:r w:rsidR="003A72DF" w:rsidRPr="001D11CD">
        <w:rPr>
          <w:i/>
          <w:lang w:val="bg-BG"/>
        </w:rPr>
        <w:t xml:space="preserve"> </w:t>
      </w:r>
      <w:proofErr w:type="spellStart"/>
      <w:r w:rsidR="003A72DF" w:rsidRPr="001D11CD">
        <w:rPr>
          <w:i/>
          <w:lang w:val="bg-BG"/>
        </w:rPr>
        <w:t>et</w:t>
      </w:r>
      <w:proofErr w:type="spellEnd"/>
      <w:r w:rsidR="003A72DF" w:rsidRPr="001D11CD">
        <w:rPr>
          <w:i/>
          <w:lang w:val="bg-BG"/>
        </w:rPr>
        <w:t xml:space="preserve"> </w:t>
      </w:r>
      <w:proofErr w:type="spellStart"/>
      <w:r w:rsidR="003A72DF" w:rsidRPr="001D11CD">
        <w:rPr>
          <w:i/>
          <w:lang w:val="bg-BG"/>
        </w:rPr>
        <w:t>autres</w:t>
      </w:r>
      <w:proofErr w:type="spellEnd"/>
      <w:r w:rsidR="003A72DF" w:rsidRPr="001D11CD">
        <w:rPr>
          <w:i/>
          <w:lang w:val="bg-BG"/>
        </w:rPr>
        <w:t xml:space="preserve"> c. </w:t>
      </w:r>
      <w:proofErr w:type="spellStart"/>
      <w:r w:rsidR="003A72DF" w:rsidRPr="001D11CD">
        <w:rPr>
          <w:i/>
          <w:lang w:val="bg-BG"/>
        </w:rPr>
        <w:t>France</w:t>
      </w:r>
      <w:proofErr w:type="spellEnd"/>
      <w:r w:rsidR="003A72DF" w:rsidRPr="001D11CD">
        <w:rPr>
          <w:i/>
          <w:lang w:val="bg-BG"/>
        </w:rPr>
        <w:t>))</w:t>
      </w:r>
      <w:r w:rsidR="003A72DF" w:rsidRPr="001D11CD">
        <w:rPr>
          <w:lang w:val="bg-BG"/>
        </w:rPr>
        <w:t xml:space="preserve">, № </w:t>
      </w:r>
      <w:r w:rsidR="000D7852" w:rsidRPr="001D11CD">
        <w:rPr>
          <w:lang w:val="bg-BG"/>
        </w:rPr>
        <w:t>4915/01, § 70, ЕСПЧ 2004-VI). За да прецени</w:t>
      </w:r>
      <w:r w:rsidR="003A72DF" w:rsidRPr="001D11CD">
        <w:rPr>
          <w:lang w:val="bg-BG"/>
        </w:rPr>
        <w:t xml:space="preserve"> дали </w:t>
      </w:r>
      <w:r w:rsidR="000D7852" w:rsidRPr="001D11CD">
        <w:rPr>
          <w:lang w:val="bg-BG"/>
        </w:rPr>
        <w:t>условия</w:t>
      </w:r>
      <w:r w:rsidR="003A72DF" w:rsidRPr="001D11CD">
        <w:rPr>
          <w:lang w:val="bg-BG"/>
        </w:rPr>
        <w:t>та</w:t>
      </w:r>
      <w:r w:rsidR="000D7852" w:rsidRPr="001D11CD">
        <w:rPr>
          <w:lang w:val="bg-BG"/>
        </w:rPr>
        <w:t xml:space="preserve"> са изпълнени, Съдът </w:t>
      </w:r>
      <w:r w:rsidR="003A72DF" w:rsidRPr="001D11CD">
        <w:rPr>
          <w:lang w:val="bg-BG"/>
        </w:rPr>
        <w:t>след</w:t>
      </w:r>
      <w:r w:rsidR="000D7852" w:rsidRPr="001D11CD">
        <w:rPr>
          <w:lang w:val="bg-BG"/>
        </w:rPr>
        <w:t xml:space="preserve">ва да </w:t>
      </w:r>
      <w:r w:rsidR="003A72DF" w:rsidRPr="001D11CD">
        <w:rPr>
          <w:lang w:val="bg-BG"/>
        </w:rPr>
        <w:t>с</w:t>
      </w:r>
      <w:r w:rsidR="000D7852" w:rsidRPr="001D11CD">
        <w:rPr>
          <w:lang w:val="bg-BG"/>
        </w:rPr>
        <w:t>е убед</w:t>
      </w:r>
      <w:r w:rsidR="003A72DF" w:rsidRPr="001D11CD">
        <w:rPr>
          <w:lang w:val="bg-BG"/>
        </w:rPr>
        <w:t>и</w:t>
      </w:r>
      <w:r w:rsidR="000D7852" w:rsidRPr="001D11CD">
        <w:rPr>
          <w:lang w:val="bg-BG"/>
        </w:rPr>
        <w:t>, че националните власти са прил</w:t>
      </w:r>
      <w:r w:rsidR="00CF3041" w:rsidRPr="001D11CD">
        <w:rPr>
          <w:lang w:val="bg-BG"/>
        </w:rPr>
        <w:t>ожили</w:t>
      </w:r>
      <w:r w:rsidR="00025608">
        <w:rPr>
          <w:lang w:val="bg-BG"/>
        </w:rPr>
        <w:t xml:space="preserve"> съответните</w:t>
      </w:r>
      <w:r w:rsidR="000D7852" w:rsidRPr="001D11CD">
        <w:rPr>
          <w:lang w:val="bg-BG"/>
        </w:rPr>
        <w:t xml:space="preserve"> </w:t>
      </w:r>
      <w:r w:rsidR="00CF3041" w:rsidRPr="001D11CD">
        <w:rPr>
          <w:lang w:val="bg-BG"/>
        </w:rPr>
        <w:t>норми</w:t>
      </w:r>
      <w:r w:rsidR="000D7852" w:rsidRPr="001D11CD">
        <w:rPr>
          <w:lang w:val="bg-BG"/>
        </w:rPr>
        <w:t xml:space="preserve"> в съответствие с принципите, </w:t>
      </w:r>
      <w:r w:rsidR="00CF3041" w:rsidRPr="001D11CD">
        <w:rPr>
          <w:lang w:val="bg-BG"/>
        </w:rPr>
        <w:t>провъзгласени</w:t>
      </w:r>
      <w:r w:rsidR="000D7852" w:rsidRPr="001D11CD">
        <w:rPr>
          <w:lang w:val="bg-BG"/>
        </w:rPr>
        <w:t xml:space="preserve"> в член 10, и при това са се ос</w:t>
      </w:r>
      <w:r w:rsidR="00CF3041" w:rsidRPr="001D11CD">
        <w:rPr>
          <w:lang w:val="bg-BG"/>
        </w:rPr>
        <w:t>новали на приемлива пре</w:t>
      </w:r>
      <w:r w:rsidR="000D7852" w:rsidRPr="001D11CD">
        <w:rPr>
          <w:lang w:val="bg-BG"/>
        </w:rPr>
        <w:t xml:space="preserve">ценка на съответните факти (виж сред много други </w:t>
      </w:r>
      <w:proofErr w:type="spellStart"/>
      <w:r w:rsidR="00CF3041" w:rsidRPr="001D11CD">
        <w:rPr>
          <w:i/>
          <w:lang w:val="bg-BG"/>
        </w:rPr>
        <w:t>Зана</w:t>
      </w:r>
      <w:proofErr w:type="spellEnd"/>
      <w:r w:rsidR="000D7852" w:rsidRPr="001D11CD">
        <w:rPr>
          <w:i/>
          <w:lang w:val="bg-BG"/>
        </w:rPr>
        <w:t xml:space="preserve"> срещу Турция</w:t>
      </w:r>
      <w:r w:rsidR="000D7852" w:rsidRPr="001D11CD">
        <w:rPr>
          <w:lang w:val="bg-BG"/>
        </w:rPr>
        <w:t xml:space="preserve"> </w:t>
      </w:r>
      <w:r w:rsidR="00B21BE0" w:rsidRPr="001D11CD">
        <w:rPr>
          <w:lang w:val="bg-BG"/>
        </w:rPr>
        <w:t>(</w:t>
      </w:r>
      <w:proofErr w:type="spellStart"/>
      <w:r w:rsidR="00CF3041" w:rsidRPr="001D11CD">
        <w:rPr>
          <w:i/>
          <w:lang w:val="bg-BG"/>
        </w:rPr>
        <w:t>Zana</w:t>
      </w:r>
      <w:proofErr w:type="spellEnd"/>
      <w:r w:rsidR="00CF3041" w:rsidRPr="001D11CD">
        <w:rPr>
          <w:i/>
          <w:lang w:val="bg-BG"/>
        </w:rPr>
        <w:t xml:space="preserve"> c. </w:t>
      </w:r>
      <w:proofErr w:type="spellStart"/>
      <w:r w:rsidR="00CF3041" w:rsidRPr="001D11CD">
        <w:rPr>
          <w:i/>
          <w:lang w:val="bg-BG"/>
        </w:rPr>
        <w:t>Turquie</w:t>
      </w:r>
      <w:proofErr w:type="spellEnd"/>
      <w:r w:rsidR="00B21BE0" w:rsidRPr="001D11CD">
        <w:rPr>
          <w:i/>
          <w:lang w:val="bg-BG"/>
        </w:rPr>
        <w:t>)</w:t>
      </w:r>
      <w:r w:rsidR="00CF3041" w:rsidRPr="001D11CD">
        <w:rPr>
          <w:i/>
          <w:lang w:val="bg-BG"/>
        </w:rPr>
        <w:t xml:space="preserve">, </w:t>
      </w:r>
      <w:r w:rsidR="000D7852" w:rsidRPr="001D11CD">
        <w:rPr>
          <w:lang w:val="bg-BG"/>
        </w:rPr>
        <w:t>25 ноември 1997</w:t>
      </w:r>
      <w:r w:rsidR="00B21BE0" w:rsidRPr="001D11CD">
        <w:rPr>
          <w:lang w:val="bg-BG"/>
        </w:rPr>
        <w:t> г.</w:t>
      </w:r>
      <w:r w:rsidR="000D7852" w:rsidRPr="001D11CD">
        <w:rPr>
          <w:lang w:val="bg-BG"/>
        </w:rPr>
        <w:t xml:space="preserve">, § 51, Сборник </w:t>
      </w:r>
      <w:r w:rsidR="00CF3041" w:rsidRPr="001D11CD">
        <w:rPr>
          <w:lang w:val="bg-BG"/>
        </w:rPr>
        <w:t xml:space="preserve">с </w:t>
      </w:r>
      <w:r w:rsidR="000D7852" w:rsidRPr="001D11CD">
        <w:rPr>
          <w:lang w:val="bg-BG"/>
        </w:rPr>
        <w:t>решения 1997-VII).</w:t>
      </w:r>
    </w:p>
    <w:p w14:paraId="6858B217" w14:textId="0443E01A" w:rsidR="00465014"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53</w:t>
      </w:r>
      <w:r w:rsidRPr="001D11CD">
        <w:rPr>
          <w:lang w:val="bg-BG"/>
        </w:rPr>
        <w:fldChar w:fldCharType="end"/>
      </w:r>
      <w:r w:rsidRPr="001D11CD">
        <w:rPr>
          <w:lang w:val="bg-BG"/>
        </w:rPr>
        <w:t>.  </w:t>
      </w:r>
      <w:r w:rsidR="00465014" w:rsidRPr="001D11CD">
        <w:rPr>
          <w:lang w:val="bg-BG"/>
        </w:rPr>
        <w:t xml:space="preserve">Вярно е, че езиковите политики на договарящите държави са повлияни от множество исторически, езикови, религиозни и културни фактори, така че е изключително трудно, ако не и невъзможно, да се </w:t>
      </w:r>
      <w:r w:rsidR="008A2B47" w:rsidRPr="001D11CD">
        <w:rPr>
          <w:lang w:val="bg-BG"/>
        </w:rPr>
        <w:t>откроят</w:t>
      </w:r>
      <w:r w:rsidR="00465014" w:rsidRPr="001D11CD">
        <w:rPr>
          <w:lang w:val="bg-BG"/>
        </w:rPr>
        <w:t xml:space="preserve"> </w:t>
      </w:r>
      <w:r w:rsidR="008A2B47" w:rsidRPr="001D11CD">
        <w:rPr>
          <w:lang w:val="bg-BG"/>
        </w:rPr>
        <w:t xml:space="preserve">общите за тях </w:t>
      </w:r>
      <w:r w:rsidR="00465014" w:rsidRPr="001D11CD">
        <w:rPr>
          <w:lang w:val="bg-BG"/>
        </w:rPr>
        <w:t xml:space="preserve">принципи. Ето защо Съдът </w:t>
      </w:r>
      <w:r w:rsidR="008A2B47" w:rsidRPr="001D11CD">
        <w:rPr>
          <w:lang w:val="bg-BG"/>
        </w:rPr>
        <w:t>е приел</w:t>
      </w:r>
      <w:r w:rsidR="00465014" w:rsidRPr="001D11CD">
        <w:rPr>
          <w:lang w:val="bg-BG"/>
        </w:rPr>
        <w:t>, че свободата на преценка, с която се ползват държавите по този въпрос, е особено широка в определени контексти (</w:t>
      </w:r>
      <w:proofErr w:type="spellStart"/>
      <w:r w:rsidR="00465014" w:rsidRPr="001D11CD">
        <w:rPr>
          <w:i/>
          <w:lang w:val="bg-BG"/>
        </w:rPr>
        <w:t>Шукран</w:t>
      </w:r>
      <w:proofErr w:type="spellEnd"/>
      <w:r w:rsidR="00465014" w:rsidRPr="001D11CD">
        <w:rPr>
          <w:i/>
          <w:lang w:val="bg-BG"/>
        </w:rPr>
        <w:t xml:space="preserve"> Айдън и други</w:t>
      </w:r>
      <w:r w:rsidR="00465014" w:rsidRPr="001D11CD">
        <w:rPr>
          <w:lang w:val="bg-BG"/>
        </w:rPr>
        <w:t xml:space="preserve">, горецитирано, § 51, виж също например, </w:t>
      </w:r>
      <w:proofErr w:type="spellStart"/>
      <w:r w:rsidR="00465014" w:rsidRPr="00174D23">
        <w:rPr>
          <w:i/>
          <w:iCs/>
          <w:lang w:val="bg-BG"/>
        </w:rPr>
        <w:t>mutatis</w:t>
      </w:r>
      <w:proofErr w:type="spellEnd"/>
      <w:r w:rsidR="00465014" w:rsidRPr="00174D23">
        <w:rPr>
          <w:i/>
          <w:iCs/>
          <w:lang w:val="bg-BG"/>
        </w:rPr>
        <w:t xml:space="preserve"> </w:t>
      </w:r>
      <w:proofErr w:type="spellStart"/>
      <w:r w:rsidR="00465014" w:rsidRPr="00174D23">
        <w:rPr>
          <w:i/>
          <w:iCs/>
          <w:lang w:val="bg-BG"/>
        </w:rPr>
        <w:t>mutandis</w:t>
      </w:r>
      <w:proofErr w:type="spellEnd"/>
      <w:r w:rsidR="00465014" w:rsidRPr="001D11CD">
        <w:rPr>
          <w:lang w:val="bg-BG"/>
        </w:rPr>
        <w:t xml:space="preserve">, </w:t>
      </w:r>
      <w:proofErr w:type="spellStart"/>
      <w:r w:rsidR="008A2B47" w:rsidRPr="001D11CD">
        <w:rPr>
          <w:i/>
          <w:lang w:val="bg-BG"/>
        </w:rPr>
        <w:t>Менцен</w:t>
      </w:r>
      <w:proofErr w:type="spellEnd"/>
      <w:r w:rsidR="008A2B47" w:rsidRPr="001D11CD">
        <w:rPr>
          <w:i/>
          <w:lang w:val="bg-BG"/>
        </w:rPr>
        <w:t xml:space="preserve"> </w:t>
      </w:r>
      <w:r w:rsidR="00465014" w:rsidRPr="001D11CD">
        <w:rPr>
          <w:i/>
          <w:lang w:val="bg-BG"/>
        </w:rPr>
        <w:t>срещу Латвия</w:t>
      </w:r>
      <w:r w:rsidR="00465014" w:rsidRPr="001D11CD">
        <w:rPr>
          <w:lang w:val="bg-BG"/>
        </w:rPr>
        <w:t xml:space="preserve"> </w:t>
      </w:r>
      <w:r w:rsidR="008A2B47" w:rsidRPr="001D11CD">
        <w:rPr>
          <w:i/>
          <w:lang w:val="bg-BG"/>
        </w:rPr>
        <w:t>(</w:t>
      </w:r>
      <w:proofErr w:type="spellStart"/>
      <w:r w:rsidR="008A2B47" w:rsidRPr="001D11CD">
        <w:rPr>
          <w:i/>
          <w:lang w:val="bg-BG"/>
        </w:rPr>
        <w:t>Mentzen</w:t>
      </w:r>
      <w:proofErr w:type="spellEnd"/>
      <w:r w:rsidR="008A2B47" w:rsidRPr="001D11CD">
        <w:rPr>
          <w:i/>
          <w:lang w:val="bg-BG"/>
        </w:rPr>
        <w:t xml:space="preserve"> c. </w:t>
      </w:r>
      <w:proofErr w:type="spellStart"/>
      <w:r w:rsidR="00DF197A" w:rsidRPr="001D11CD">
        <w:rPr>
          <w:i/>
          <w:lang w:val="bg-BG"/>
        </w:rPr>
        <w:t>Lettonie</w:t>
      </w:r>
      <w:proofErr w:type="spellEnd"/>
      <w:r w:rsidR="008A2B47" w:rsidRPr="001D11CD">
        <w:rPr>
          <w:i/>
          <w:lang w:val="bg-BG"/>
        </w:rPr>
        <w:t xml:space="preserve">) </w:t>
      </w:r>
      <w:r w:rsidR="00465014" w:rsidRPr="001D11CD">
        <w:rPr>
          <w:lang w:val="bg-BG"/>
        </w:rPr>
        <w:t>(</w:t>
      </w:r>
      <w:r w:rsidR="008A2B47" w:rsidRPr="001D11CD">
        <w:rPr>
          <w:lang w:val="bg-BG"/>
        </w:rPr>
        <w:t>решение</w:t>
      </w:r>
      <w:r w:rsidR="00DF197A" w:rsidRPr="001D11CD">
        <w:rPr>
          <w:lang w:val="bg-BG"/>
        </w:rPr>
        <w:t xml:space="preserve"> по допустимостта</w:t>
      </w:r>
      <w:r w:rsidR="00465014" w:rsidRPr="001D11CD">
        <w:rPr>
          <w:lang w:val="bg-BG"/>
        </w:rPr>
        <w:t xml:space="preserve">), </w:t>
      </w:r>
      <w:r w:rsidR="008A2B47" w:rsidRPr="001D11CD">
        <w:rPr>
          <w:lang w:val="bg-BG"/>
        </w:rPr>
        <w:t>№</w:t>
      </w:r>
      <w:r w:rsidR="00465014" w:rsidRPr="001D11CD">
        <w:rPr>
          <w:lang w:val="bg-BG"/>
        </w:rPr>
        <w:t xml:space="preserve"> 71074/01, ЕСПЧ 2004-XII, </w:t>
      </w:r>
      <w:r w:rsidR="00465014" w:rsidRPr="001D11CD">
        <w:rPr>
          <w:i/>
          <w:lang w:val="bg-BG"/>
        </w:rPr>
        <w:t>Булгаков срещу Украйна</w:t>
      </w:r>
      <w:r w:rsidR="008A2B47" w:rsidRPr="001D11CD">
        <w:rPr>
          <w:lang w:val="bg-BG"/>
        </w:rPr>
        <w:t xml:space="preserve"> </w:t>
      </w:r>
      <w:r w:rsidR="008A2B47" w:rsidRPr="001D11CD">
        <w:rPr>
          <w:i/>
          <w:lang w:val="bg-BG"/>
        </w:rPr>
        <w:t>(</w:t>
      </w:r>
      <w:proofErr w:type="spellStart"/>
      <w:r w:rsidR="008A2B47" w:rsidRPr="001D11CD">
        <w:rPr>
          <w:i/>
          <w:lang w:val="bg-BG"/>
        </w:rPr>
        <w:t>Boulgakov</w:t>
      </w:r>
      <w:proofErr w:type="spellEnd"/>
      <w:r w:rsidR="008A2B47" w:rsidRPr="001D11CD">
        <w:rPr>
          <w:i/>
          <w:lang w:val="bg-BG"/>
        </w:rPr>
        <w:t xml:space="preserve"> c. </w:t>
      </w:r>
      <w:proofErr w:type="spellStart"/>
      <w:r w:rsidR="008A2B47" w:rsidRPr="001D11CD">
        <w:rPr>
          <w:i/>
          <w:lang w:val="bg-BG"/>
        </w:rPr>
        <w:t>Ukraine</w:t>
      </w:r>
      <w:proofErr w:type="spellEnd"/>
      <w:r w:rsidR="008A2B47" w:rsidRPr="001D11CD">
        <w:rPr>
          <w:i/>
          <w:lang w:val="bg-BG"/>
        </w:rPr>
        <w:t>)</w:t>
      </w:r>
      <w:r w:rsidR="00465014" w:rsidRPr="001D11CD">
        <w:rPr>
          <w:lang w:val="bg-BG"/>
        </w:rPr>
        <w:t>, № 59894/</w:t>
      </w:r>
      <w:r w:rsidR="008A2B47" w:rsidRPr="001D11CD">
        <w:rPr>
          <w:lang w:val="bg-BG"/>
        </w:rPr>
        <w:t>00, §§ 43-44, 11 септември 2007</w:t>
      </w:r>
      <w:r w:rsidR="00441ED2" w:rsidRPr="001D11CD">
        <w:rPr>
          <w:lang w:val="bg-BG"/>
        </w:rPr>
        <w:t> г.</w:t>
      </w:r>
      <w:r w:rsidR="00465014" w:rsidRPr="001D11CD">
        <w:rPr>
          <w:lang w:val="bg-BG"/>
        </w:rPr>
        <w:t xml:space="preserve">, и </w:t>
      </w:r>
      <w:proofErr w:type="spellStart"/>
      <w:r w:rsidR="008A2B47" w:rsidRPr="001D11CD">
        <w:rPr>
          <w:i/>
          <w:lang w:val="bg-BG"/>
        </w:rPr>
        <w:t>Байлак-Ферер</w:t>
      </w:r>
      <w:proofErr w:type="spellEnd"/>
      <w:r w:rsidR="008A2B47" w:rsidRPr="001D11CD">
        <w:rPr>
          <w:i/>
          <w:lang w:val="bg-BG"/>
        </w:rPr>
        <w:t xml:space="preserve"> и </w:t>
      </w:r>
      <w:proofErr w:type="spellStart"/>
      <w:r w:rsidR="008A2B47" w:rsidRPr="001D11CD">
        <w:rPr>
          <w:i/>
          <w:lang w:val="bg-BG"/>
        </w:rPr>
        <w:t>Суарес</w:t>
      </w:r>
      <w:proofErr w:type="spellEnd"/>
      <w:r w:rsidR="008A2B47" w:rsidRPr="001D11CD">
        <w:rPr>
          <w:i/>
          <w:lang w:val="bg-BG"/>
        </w:rPr>
        <w:t xml:space="preserve"> срещу Франция (</w:t>
      </w:r>
      <w:proofErr w:type="spellStart"/>
      <w:r w:rsidR="00465014" w:rsidRPr="001D11CD">
        <w:rPr>
          <w:i/>
          <w:lang w:val="bg-BG"/>
        </w:rPr>
        <w:t>Baylac-Ferrer</w:t>
      </w:r>
      <w:proofErr w:type="spellEnd"/>
      <w:r w:rsidR="00465014" w:rsidRPr="001D11CD">
        <w:rPr>
          <w:i/>
          <w:lang w:val="bg-BG"/>
        </w:rPr>
        <w:t xml:space="preserve"> </w:t>
      </w:r>
      <w:proofErr w:type="spellStart"/>
      <w:r w:rsidR="008A2B47" w:rsidRPr="001D11CD">
        <w:rPr>
          <w:i/>
          <w:lang w:val="bg-BG"/>
        </w:rPr>
        <w:t>et</w:t>
      </w:r>
      <w:proofErr w:type="spellEnd"/>
      <w:r w:rsidR="00465014" w:rsidRPr="001D11CD">
        <w:rPr>
          <w:i/>
          <w:lang w:val="bg-BG"/>
        </w:rPr>
        <w:t xml:space="preserve"> </w:t>
      </w:r>
      <w:proofErr w:type="spellStart"/>
      <w:r w:rsidR="00465014" w:rsidRPr="001D11CD">
        <w:rPr>
          <w:i/>
          <w:lang w:val="bg-BG"/>
        </w:rPr>
        <w:t>Suarez</w:t>
      </w:r>
      <w:proofErr w:type="spellEnd"/>
      <w:r w:rsidR="00465014" w:rsidRPr="001D11CD">
        <w:rPr>
          <w:i/>
          <w:lang w:val="bg-BG"/>
        </w:rPr>
        <w:t xml:space="preserve"> </w:t>
      </w:r>
      <w:r w:rsidR="008A2B47" w:rsidRPr="001D11CD">
        <w:rPr>
          <w:i/>
          <w:lang w:val="bg-BG"/>
        </w:rPr>
        <w:t xml:space="preserve">c. </w:t>
      </w:r>
      <w:proofErr w:type="spellStart"/>
      <w:r w:rsidR="008A2B47" w:rsidRPr="001D11CD">
        <w:rPr>
          <w:i/>
          <w:lang w:val="bg-BG"/>
        </w:rPr>
        <w:t>France</w:t>
      </w:r>
      <w:proofErr w:type="spellEnd"/>
      <w:r w:rsidR="008A2B47" w:rsidRPr="001D11CD">
        <w:rPr>
          <w:i/>
          <w:lang w:val="bg-BG"/>
        </w:rPr>
        <w:t>)</w:t>
      </w:r>
      <w:r w:rsidR="00465014" w:rsidRPr="001D11CD">
        <w:rPr>
          <w:lang w:val="bg-BG"/>
        </w:rPr>
        <w:t xml:space="preserve"> (реш</w:t>
      </w:r>
      <w:r w:rsidR="00DF197A" w:rsidRPr="001D11CD">
        <w:rPr>
          <w:lang w:val="bg-BG"/>
        </w:rPr>
        <w:t>ение по допустимостта</w:t>
      </w:r>
      <w:r w:rsidR="00465014" w:rsidRPr="001D11CD">
        <w:rPr>
          <w:lang w:val="bg-BG"/>
        </w:rPr>
        <w:t>), №</w:t>
      </w:r>
      <w:r w:rsidR="00441ED2" w:rsidRPr="001D11CD">
        <w:rPr>
          <w:lang w:val="bg-BG"/>
        </w:rPr>
        <w:t> </w:t>
      </w:r>
      <w:r w:rsidR="00465014" w:rsidRPr="001D11CD">
        <w:rPr>
          <w:lang w:val="bg-BG"/>
        </w:rPr>
        <w:t>27977/04, 25 септември 2008</w:t>
      </w:r>
      <w:r w:rsidR="00441ED2" w:rsidRPr="001D11CD">
        <w:rPr>
          <w:lang w:val="bg-BG"/>
        </w:rPr>
        <w:t> г.</w:t>
      </w:r>
      <w:r w:rsidR="00465014" w:rsidRPr="001D11CD">
        <w:rPr>
          <w:lang w:val="bg-BG"/>
        </w:rPr>
        <w:t>, в ко</w:t>
      </w:r>
      <w:r w:rsidR="006B71BC" w:rsidRPr="001D11CD">
        <w:rPr>
          <w:lang w:val="bg-BG"/>
        </w:rPr>
        <w:t>и</w:t>
      </w:r>
      <w:r w:rsidR="00465014" w:rsidRPr="001D11CD">
        <w:rPr>
          <w:lang w:val="bg-BG"/>
        </w:rPr>
        <w:t xml:space="preserve">то Съдът </w:t>
      </w:r>
      <w:r w:rsidR="006B71BC" w:rsidRPr="001D11CD">
        <w:rPr>
          <w:lang w:val="bg-BG"/>
        </w:rPr>
        <w:t xml:space="preserve">е </w:t>
      </w:r>
      <w:r w:rsidR="00174D23" w:rsidRPr="001D11CD">
        <w:rPr>
          <w:lang w:val="bg-BG"/>
        </w:rPr>
        <w:t>пр</w:t>
      </w:r>
      <w:r w:rsidR="00174D23">
        <w:rPr>
          <w:lang w:val="bg-BG"/>
        </w:rPr>
        <w:t>изна</w:t>
      </w:r>
      <w:r w:rsidR="00174D23" w:rsidRPr="001D11CD">
        <w:rPr>
          <w:lang w:val="bg-BG"/>
        </w:rPr>
        <w:t xml:space="preserve">л </w:t>
      </w:r>
      <w:r w:rsidR="006B71BC" w:rsidRPr="001D11CD">
        <w:rPr>
          <w:lang w:val="bg-BG"/>
        </w:rPr>
        <w:t xml:space="preserve">широка свобода на преценка </w:t>
      </w:r>
      <w:r w:rsidR="00465014" w:rsidRPr="001D11CD">
        <w:rPr>
          <w:lang w:val="bg-BG"/>
        </w:rPr>
        <w:t>на държавите по въпросите на транскри</w:t>
      </w:r>
      <w:r w:rsidR="006B71BC" w:rsidRPr="001D11CD">
        <w:rPr>
          <w:lang w:val="bg-BG"/>
        </w:rPr>
        <w:t>биране</w:t>
      </w:r>
      <w:r w:rsidR="00174D23">
        <w:rPr>
          <w:lang w:val="bg-BG"/>
        </w:rPr>
        <w:t>то</w:t>
      </w:r>
      <w:r w:rsidR="006B71BC" w:rsidRPr="001D11CD">
        <w:rPr>
          <w:lang w:val="bg-BG"/>
        </w:rPr>
        <w:t xml:space="preserve"> </w:t>
      </w:r>
      <w:r w:rsidR="00465014" w:rsidRPr="001D11CD">
        <w:rPr>
          <w:lang w:val="bg-BG"/>
        </w:rPr>
        <w:t>и изписване</w:t>
      </w:r>
      <w:r w:rsidR="00174D23">
        <w:rPr>
          <w:lang w:val="bg-BG"/>
        </w:rPr>
        <w:t>то</w:t>
      </w:r>
      <w:r w:rsidR="00465014" w:rsidRPr="001D11CD">
        <w:rPr>
          <w:lang w:val="bg-BG"/>
        </w:rPr>
        <w:t xml:space="preserve"> на имена от чужд произход в зависимост от историческите и културни обстоятелства).</w:t>
      </w:r>
    </w:p>
    <w:bookmarkStart w:id="18" w:name="Para55new"/>
    <w:p w14:paraId="15D51B6E" w14:textId="7F0A4987"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54</w:t>
      </w:r>
      <w:r w:rsidRPr="001D11CD">
        <w:rPr>
          <w:lang w:val="bg-BG"/>
        </w:rPr>
        <w:fldChar w:fldCharType="end"/>
      </w:r>
      <w:bookmarkEnd w:id="18"/>
      <w:r w:rsidRPr="001D11CD">
        <w:rPr>
          <w:lang w:val="bg-BG"/>
        </w:rPr>
        <w:t>.  </w:t>
      </w:r>
      <w:r w:rsidR="00121B1F" w:rsidRPr="001D11CD">
        <w:rPr>
          <w:lang w:val="bg-BG"/>
        </w:rPr>
        <w:t>С оглед на горното, Съдът счита за уместно да припомни взаимозависим</w:t>
      </w:r>
      <w:r w:rsidR="009B02A2" w:rsidRPr="001D11CD">
        <w:rPr>
          <w:lang w:val="bg-BG"/>
        </w:rPr>
        <w:t xml:space="preserve">остта в едно демократично общество </w:t>
      </w:r>
      <w:r w:rsidR="00163BF1" w:rsidRPr="001D11CD">
        <w:rPr>
          <w:lang w:val="bg-BG"/>
        </w:rPr>
        <w:t>между правото на</w:t>
      </w:r>
      <w:r w:rsidR="009B02A2" w:rsidRPr="001D11CD">
        <w:rPr>
          <w:lang w:val="bg-BG"/>
        </w:rPr>
        <w:t xml:space="preserve"> изразяване </w:t>
      </w:r>
      <w:r w:rsidR="00163BF1" w:rsidRPr="001D11CD">
        <w:rPr>
          <w:lang w:val="bg-BG"/>
        </w:rPr>
        <w:t xml:space="preserve">на мнение </w:t>
      </w:r>
      <w:r w:rsidR="00121B1F" w:rsidRPr="001D11CD">
        <w:rPr>
          <w:lang w:val="bg-BG"/>
        </w:rPr>
        <w:t xml:space="preserve">и правото на свободни избори. В това отношение правото на свобода на изразяване на мнение </w:t>
      </w:r>
      <w:r w:rsidR="00163BF1" w:rsidRPr="001D11CD">
        <w:rPr>
          <w:lang w:val="bg-BG"/>
        </w:rPr>
        <w:t>след</w:t>
      </w:r>
      <w:r w:rsidR="00121B1F" w:rsidRPr="001D11CD">
        <w:rPr>
          <w:lang w:val="bg-BG"/>
        </w:rPr>
        <w:t xml:space="preserve">ва да се разглежда в светлината на правата, гарантирани от член 3 от Протокол № 1, които са от </w:t>
      </w:r>
      <w:r w:rsidR="00163BF1" w:rsidRPr="001D11CD">
        <w:rPr>
          <w:lang w:val="bg-BG"/>
        </w:rPr>
        <w:t>кардинално</w:t>
      </w:r>
      <w:r w:rsidR="00121B1F" w:rsidRPr="001D11CD">
        <w:rPr>
          <w:lang w:val="bg-BG"/>
        </w:rPr>
        <w:t xml:space="preserve"> значение за установяването и поддържането на основите на една истинска демокрация, </w:t>
      </w:r>
      <w:r w:rsidR="00163BF1" w:rsidRPr="001D11CD">
        <w:rPr>
          <w:lang w:val="bg-BG"/>
        </w:rPr>
        <w:t xml:space="preserve">ръководена </w:t>
      </w:r>
      <w:r w:rsidR="00121B1F" w:rsidRPr="001D11CD">
        <w:rPr>
          <w:lang w:val="bg-BG"/>
        </w:rPr>
        <w:t xml:space="preserve">от </w:t>
      </w:r>
      <w:r w:rsidR="00163BF1" w:rsidRPr="001D11CD">
        <w:rPr>
          <w:lang w:val="bg-BG"/>
        </w:rPr>
        <w:t>върховенството</w:t>
      </w:r>
      <w:r w:rsidR="00121B1F" w:rsidRPr="001D11CD">
        <w:rPr>
          <w:lang w:val="bg-BG"/>
        </w:rPr>
        <w:t xml:space="preserve"> на закон</w:t>
      </w:r>
      <w:r w:rsidR="00163BF1" w:rsidRPr="001D11CD">
        <w:rPr>
          <w:lang w:val="bg-BG"/>
        </w:rPr>
        <w:t>а</w:t>
      </w:r>
      <w:r w:rsidR="00121B1F" w:rsidRPr="001D11CD">
        <w:rPr>
          <w:lang w:val="bg-BG"/>
        </w:rPr>
        <w:t>. Свободата на изразяването на мнение е съществено условие за „свободното изразяване на мнени</w:t>
      </w:r>
      <w:r w:rsidR="00163BF1" w:rsidRPr="001D11CD">
        <w:rPr>
          <w:lang w:val="bg-BG"/>
        </w:rPr>
        <w:t>ето на</w:t>
      </w:r>
      <w:r w:rsidR="00121B1F" w:rsidRPr="001D11CD">
        <w:rPr>
          <w:lang w:val="bg-BG"/>
        </w:rPr>
        <w:t xml:space="preserve"> народа </w:t>
      </w:r>
      <w:r w:rsidR="00163BF1" w:rsidRPr="001D11CD">
        <w:rPr>
          <w:lang w:val="bg-BG"/>
        </w:rPr>
        <w:t xml:space="preserve">относно </w:t>
      </w:r>
      <w:r w:rsidR="00121B1F" w:rsidRPr="001D11CD">
        <w:rPr>
          <w:lang w:val="bg-BG"/>
        </w:rPr>
        <w:t>избора на законодателния орган“. Ето защо е особено важно в предизборния период мнения и информация от всякакъв вид да могат да циркулират свободно (</w:t>
      </w:r>
      <w:proofErr w:type="spellStart"/>
      <w:r w:rsidR="00121B1F" w:rsidRPr="001D11CD">
        <w:rPr>
          <w:i/>
          <w:lang w:val="bg-BG"/>
        </w:rPr>
        <w:t>Magyar</w:t>
      </w:r>
      <w:proofErr w:type="spellEnd"/>
      <w:r w:rsidR="00121B1F" w:rsidRPr="001D11CD">
        <w:rPr>
          <w:i/>
          <w:lang w:val="bg-BG"/>
        </w:rPr>
        <w:t xml:space="preserve"> </w:t>
      </w:r>
      <w:proofErr w:type="spellStart"/>
      <w:r w:rsidR="00121B1F" w:rsidRPr="001D11CD">
        <w:rPr>
          <w:i/>
          <w:lang w:val="bg-BG"/>
        </w:rPr>
        <w:t>Kétfarkú</w:t>
      </w:r>
      <w:proofErr w:type="spellEnd"/>
      <w:r w:rsidR="00121B1F" w:rsidRPr="001D11CD">
        <w:rPr>
          <w:i/>
          <w:lang w:val="bg-BG"/>
        </w:rPr>
        <w:t xml:space="preserve"> </w:t>
      </w:r>
      <w:proofErr w:type="spellStart"/>
      <w:r w:rsidR="00121B1F" w:rsidRPr="001D11CD">
        <w:rPr>
          <w:i/>
          <w:lang w:val="bg-BG"/>
        </w:rPr>
        <w:t>Kutya</w:t>
      </w:r>
      <w:proofErr w:type="spellEnd"/>
      <w:r w:rsidR="00121B1F" w:rsidRPr="001D11CD">
        <w:rPr>
          <w:i/>
          <w:lang w:val="bg-BG"/>
        </w:rPr>
        <w:t xml:space="preserve"> </w:t>
      </w:r>
      <w:proofErr w:type="spellStart"/>
      <w:r w:rsidR="00121B1F" w:rsidRPr="001D11CD">
        <w:rPr>
          <w:i/>
          <w:lang w:val="bg-BG"/>
        </w:rPr>
        <w:t>Párt</w:t>
      </w:r>
      <w:proofErr w:type="spellEnd"/>
      <w:r w:rsidR="00121B1F" w:rsidRPr="001D11CD">
        <w:rPr>
          <w:i/>
          <w:lang w:val="bg-BG"/>
        </w:rPr>
        <w:t xml:space="preserve"> срещу Унгария </w:t>
      </w:r>
      <w:r w:rsidR="00163BF1" w:rsidRPr="001D11CD">
        <w:rPr>
          <w:i/>
          <w:lang w:val="bg-BG"/>
        </w:rPr>
        <w:t>(</w:t>
      </w:r>
      <w:proofErr w:type="spellStart"/>
      <w:r w:rsidR="00163BF1" w:rsidRPr="001D11CD">
        <w:rPr>
          <w:i/>
          <w:lang w:val="bg-BG"/>
        </w:rPr>
        <w:t>Magyar</w:t>
      </w:r>
      <w:proofErr w:type="spellEnd"/>
      <w:r w:rsidR="00163BF1" w:rsidRPr="001D11CD">
        <w:rPr>
          <w:i/>
          <w:lang w:val="bg-BG"/>
        </w:rPr>
        <w:t xml:space="preserve"> </w:t>
      </w:r>
      <w:proofErr w:type="spellStart"/>
      <w:r w:rsidR="00163BF1" w:rsidRPr="001D11CD">
        <w:rPr>
          <w:i/>
          <w:lang w:val="bg-BG"/>
        </w:rPr>
        <w:t>Kétfarkú</w:t>
      </w:r>
      <w:proofErr w:type="spellEnd"/>
      <w:r w:rsidR="00163BF1" w:rsidRPr="001D11CD">
        <w:rPr>
          <w:i/>
          <w:lang w:val="bg-BG"/>
        </w:rPr>
        <w:t xml:space="preserve"> </w:t>
      </w:r>
      <w:proofErr w:type="spellStart"/>
      <w:r w:rsidR="00163BF1" w:rsidRPr="001D11CD">
        <w:rPr>
          <w:i/>
          <w:lang w:val="bg-BG"/>
        </w:rPr>
        <w:t>Kutya</w:t>
      </w:r>
      <w:proofErr w:type="spellEnd"/>
      <w:r w:rsidR="00163BF1" w:rsidRPr="001D11CD">
        <w:rPr>
          <w:i/>
          <w:lang w:val="bg-BG"/>
        </w:rPr>
        <w:t xml:space="preserve"> </w:t>
      </w:r>
      <w:proofErr w:type="spellStart"/>
      <w:r w:rsidR="00163BF1" w:rsidRPr="001D11CD">
        <w:rPr>
          <w:i/>
          <w:lang w:val="bg-BG"/>
        </w:rPr>
        <w:t>Párt</w:t>
      </w:r>
      <w:proofErr w:type="spellEnd"/>
      <w:r w:rsidR="00163BF1" w:rsidRPr="001D11CD">
        <w:rPr>
          <w:i/>
          <w:lang w:val="bg-BG"/>
        </w:rPr>
        <w:t xml:space="preserve"> </w:t>
      </w:r>
      <w:r w:rsidR="00565403" w:rsidRPr="001D11CD">
        <w:rPr>
          <w:i/>
          <w:lang w:val="bg-BG"/>
        </w:rPr>
        <w:t xml:space="preserve">c. </w:t>
      </w:r>
      <w:proofErr w:type="spellStart"/>
      <w:r w:rsidR="00565403" w:rsidRPr="001D11CD">
        <w:rPr>
          <w:i/>
          <w:lang w:val="bg-BG"/>
        </w:rPr>
        <w:t>Hongrie</w:t>
      </w:r>
      <w:proofErr w:type="spellEnd"/>
      <w:r w:rsidR="00565403" w:rsidRPr="001D11CD">
        <w:rPr>
          <w:i/>
          <w:lang w:val="bg-BG"/>
        </w:rPr>
        <w:t>)</w:t>
      </w:r>
      <w:r w:rsidR="00163BF1" w:rsidRPr="001D11CD">
        <w:rPr>
          <w:lang w:val="bg-BG"/>
        </w:rPr>
        <w:t xml:space="preserve"> </w:t>
      </w:r>
      <w:r w:rsidR="00121B1F" w:rsidRPr="001D11CD">
        <w:rPr>
          <w:lang w:val="bg-BG"/>
        </w:rPr>
        <w:t>[</w:t>
      </w:r>
      <w:r w:rsidR="00174D23">
        <w:rPr>
          <w:lang w:val="en-US"/>
        </w:rPr>
        <w:t>G</w:t>
      </w:r>
      <w:r w:rsidR="00174D23" w:rsidRPr="001D11CD">
        <w:rPr>
          <w:lang w:val="bg-BG"/>
        </w:rPr>
        <w:t>С</w:t>
      </w:r>
      <w:r w:rsidR="00121B1F" w:rsidRPr="001D11CD">
        <w:rPr>
          <w:lang w:val="bg-BG"/>
        </w:rPr>
        <w:t>], № 201/17, § 100, 20 януари 2020</w:t>
      </w:r>
      <w:r w:rsidR="00441ED2" w:rsidRPr="001D11CD">
        <w:rPr>
          <w:lang w:val="bg-BG"/>
        </w:rPr>
        <w:t> г.</w:t>
      </w:r>
      <w:r w:rsidR="00121B1F" w:rsidRPr="001D11CD">
        <w:rPr>
          <w:lang w:val="bg-BG"/>
        </w:rPr>
        <w:t>; вж</w:t>
      </w:r>
      <w:r w:rsidR="00441ED2" w:rsidRPr="001D11CD">
        <w:rPr>
          <w:lang w:val="bg-BG"/>
        </w:rPr>
        <w:t>.</w:t>
      </w:r>
      <w:r w:rsidR="00121B1F" w:rsidRPr="001D11CD">
        <w:rPr>
          <w:lang w:val="bg-BG"/>
        </w:rPr>
        <w:t xml:space="preserve"> също </w:t>
      </w:r>
      <w:proofErr w:type="spellStart"/>
      <w:r w:rsidR="00565403" w:rsidRPr="001D11CD">
        <w:rPr>
          <w:i/>
          <w:lang w:val="bg-BG"/>
        </w:rPr>
        <w:t>Орловская</w:t>
      </w:r>
      <w:proofErr w:type="spellEnd"/>
      <w:r w:rsidR="00565403" w:rsidRPr="001D11CD">
        <w:rPr>
          <w:i/>
          <w:lang w:val="bg-BG"/>
        </w:rPr>
        <w:t xml:space="preserve"> </w:t>
      </w:r>
      <w:r w:rsidR="00E13D88">
        <w:rPr>
          <w:i/>
          <w:lang w:val="bg-BG"/>
        </w:rPr>
        <w:t>И</w:t>
      </w:r>
      <w:r w:rsidR="00565403" w:rsidRPr="001D11CD">
        <w:rPr>
          <w:i/>
          <w:lang w:val="bg-BG"/>
        </w:rPr>
        <w:t>скра</w:t>
      </w:r>
      <w:r w:rsidR="00121B1F" w:rsidRPr="001D11CD">
        <w:rPr>
          <w:lang w:val="bg-BG"/>
        </w:rPr>
        <w:t xml:space="preserve"> </w:t>
      </w:r>
      <w:r w:rsidR="00441ED2" w:rsidRPr="001D11CD">
        <w:rPr>
          <w:i/>
          <w:lang w:val="bg-BG"/>
        </w:rPr>
        <w:t>срещу Русия</w:t>
      </w:r>
      <w:r w:rsidR="00441ED2" w:rsidRPr="001D11CD">
        <w:rPr>
          <w:lang w:val="bg-BG"/>
        </w:rPr>
        <w:t xml:space="preserve"> </w:t>
      </w:r>
      <w:r w:rsidR="00634522" w:rsidRPr="001D11CD">
        <w:rPr>
          <w:lang w:val="bg-BG"/>
        </w:rPr>
        <w:t>(</w:t>
      </w:r>
      <w:proofErr w:type="spellStart"/>
      <w:r w:rsidR="00634522" w:rsidRPr="001D11CD">
        <w:rPr>
          <w:i/>
          <w:lang w:val="bg-BG"/>
        </w:rPr>
        <w:t>Orlovskaya</w:t>
      </w:r>
      <w:proofErr w:type="spellEnd"/>
      <w:r w:rsidR="00634522" w:rsidRPr="001D11CD">
        <w:rPr>
          <w:i/>
          <w:lang w:val="bg-BG"/>
        </w:rPr>
        <w:t xml:space="preserve"> </w:t>
      </w:r>
      <w:proofErr w:type="spellStart"/>
      <w:r w:rsidR="00634522" w:rsidRPr="001D11CD">
        <w:rPr>
          <w:i/>
          <w:lang w:val="bg-BG"/>
        </w:rPr>
        <w:t>Iskra</w:t>
      </w:r>
      <w:proofErr w:type="spellEnd"/>
      <w:r w:rsidR="00634522" w:rsidRPr="001D11CD">
        <w:rPr>
          <w:i/>
          <w:lang w:val="bg-BG"/>
        </w:rPr>
        <w:t xml:space="preserve"> c. </w:t>
      </w:r>
      <w:proofErr w:type="spellStart"/>
      <w:r w:rsidR="00634522" w:rsidRPr="001D11CD">
        <w:rPr>
          <w:i/>
          <w:lang w:val="bg-BG"/>
        </w:rPr>
        <w:t>Russie</w:t>
      </w:r>
      <w:proofErr w:type="spellEnd"/>
      <w:r w:rsidR="00634522" w:rsidRPr="001D11CD">
        <w:rPr>
          <w:lang w:val="bg-BG"/>
        </w:rPr>
        <w:t xml:space="preserve">) </w:t>
      </w:r>
      <w:r w:rsidR="00441ED2" w:rsidRPr="001D11CD">
        <w:rPr>
          <w:lang w:val="bg-BG"/>
        </w:rPr>
        <w:t>№ </w:t>
      </w:r>
      <w:r w:rsidR="00121B1F" w:rsidRPr="001D11CD">
        <w:rPr>
          <w:lang w:val="bg-BG"/>
        </w:rPr>
        <w:t>42911/08, § 110, 21 февруари 2017</w:t>
      </w:r>
      <w:r w:rsidR="00441ED2" w:rsidRPr="001D11CD">
        <w:rPr>
          <w:lang w:val="bg-BG"/>
        </w:rPr>
        <w:t> г.</w:t>
      </w:r>
      <w:r w:rsidR="00121B1F" w:rsidRPr="001D11CD">
        <w:rPr>
          <w:lang w:val="bg-BG"/>
        </w:rPr>
        <w:t xml:space="preserve">, с </w:t>
      </w:r>
      <w:r w:rsidR="00565403" w:rsidRPr="001D11CD">
        <w:rPr>
          <w:lang w:val="bg-BG"/>
        </w:rPr>
        <w:t xml:space="preserve">цитираните в него </w:t>
      </w:r>
      <w:r w:rsidR="00121B1F" w:rsidRPr="001D11CD">
        <w:rPr>
          <w:lang w:val="bg-BG"/>
        </w:rPr>
        <w:t xml:space="preserve">препратки). В контекста на политическия дискурс и изборите държавите имат тясна свобода на преценка, особено по време на фазата, предшестваща изборите или референдумите, когато демократичните залози са в своя </w:t>
      </w:r>
      <w:r w:rsidR="00565403" w:rsidRPr="001D11CD">
        <w:rPr>
          <w:lang w:val="bg-BG"/>
        </w:rPr>
        <w:t>апогей</w:t>
      </w:r>
      <w:r w:rsidR="00121B1F" w:rsidRPr="001D11CD">
        <w:rPr>
          <w:lang w:val="bg-BG"/>
        </w:rPr>
        <w:t xml:space="preserve">. </w:t>
      </w:r>
      <w:r w:rsidR="00565403" w:rsidRPr="001D11CD">
        <w:rPr>
          <w:lang w:val="bg-BG"/>
        </w:rPr>
        <w:t>О</w:t>
      </w:r>
      <w:r w:rsidR="00121B1F" w:rsidRPr="001D11CD">
        <w:rPr>
          <w:lang w:val="bg-BG"/>
        </w:rPr>
        <w:t xml:space="preserve">граниченията върху свободата на политическите партии да изразяват своите мнения подлежат </w:t>
      </w:r>
      <w:r w:rsidR="00565403" w:rsidRPr="001D11CD">
        <w:rPr>
          <w:lang w:val="bg-BG"/>
        </w:rPr>
        <w:t xml:space="preserve">също </w:t>
      </w:r>
      <w:r w:rsidR="00121B1F" w:rsidRPr="001D11CD">
        <w:rPr>
          <w:lang w:val="bg-BG"/>
        </w:rPr>
        <w:t xml:space="preserve">на строг контрол (пак там, както и </w:t>
      </w:r>
      <w:proofErr w:type="spellStart"/>
      <w:r w:rsidR="00565403" w:rsidRPr="001D11CD">
        <w:rPr>
          <w:i/>
          <w:lang w:val="bg-BG"/>
        </w:rPr>
        <w:t>Асоциационе</w:t>
      </w:r>
      <w:proofErr w:type="spellEnd"/>
      <w:r w:rsidR="00565403" w:rsidRPr="001D11CD">
        <w:rPr>
          <w:i/>
          <w:lang w:val="bg-BG"/>
        </w:rPr>
        <w:t xml:space="preserve"> Политика Национале Листа Марко Панела и Радик</w:t>
      </w:r>
      <w:r w:rsidR="00FE2672" w:rsidRPr="001D11CD">
        <w:rPr>
          <w:i/>
          <w:lang w:val="bg-BG"/>
        </w:rPr>
        <w:t>а</w:t>
      </w:r>
      <w:r w:rsidR="00565403" w:rsidRPr="001D11CD">
        <w:rPr>
          <w:i/>
          <w:lang w:val="bg-BG"/>
        </w:rPr>
        <w:t xml:space="preserve">ли </w:t>
      </w:r>
      <w:proofErr w:type="spellStart"/>
      <w:r w:rsidR="00565403" w:rsidRPr="001D11CD">
        <w:rPr>
          <w:i/>
          <w:lang w:val="bg-BG"/>
        </w:rPr>
        <w:t>Италиани</w:t>
      </w:r>
      <w:proofErr w:type="spellEnd"/>
      <w:r w:rsidR="00565403" w:rsidRPr="001D11CD">
        <w:rPr>
          <w:i/>
          <w:lang w:val="bg-BG"/>
        </w:rPr>
        <w:t xml:space="preserve"> срещу Италия (</w:t>
      </w:r>
      <w:proofErr w:type="spellStart"/>
      <w:r w:rsidRPr="001D11CD">
        <w:rPr>
          <w:i/>
          <w:lang w:val="bg-BG"/>
        </w:rPr>
        <w:t>Associazione</w:t>
      </w:r>
      <w:proofErr w:type="spellEnd"/>
      <w:r w:rsidRPr="001D11CD">
        <w:rPr>
          <w:i/>
          <w:lang w:val="bg-BG"/>
        </w:rPr>
        <w:t xml:space="preserve"> </w:t>
      </w:r>
      <w:proofErr w:type="spellStart"/>
      <w:r w:rsidRPr="001D11CD">
        <w:rPr>
          <w:i/>
          <w:lang w:val="bg-BG"/>
        </w:rPr>
        <w:t>Politica</w:t>
      </w:r>
      <w:proofErr w:type="spellEnd"/>
      <w:r w:rsidRPr="001D11CD">
        <w:rPr>
          <w:i/>
          <w:lang w:val="bg-BG"/>
        </w:rPr>
        <w:t xml:space="preserve"> </w:t>
      </w:r>
      <w:proofErr w:type="spellStart"/>
      <w:r w:rsidRPr="001D11CD">
        <w:rPr>
          <w:i/>
          <w:lang w:val="bg-BG"/>
        </w:rPr>
        <w:t>Nazionale</w:t>
      </w:r>
      <w:proofErr w:type="spellEnd"/>
      <w:r w:rsidRPr="001D11CD">
        <w:rPr>
          <w:i/>
          <w:lang w:val="bg-BG"/>
        </w:rPr>
        <w:t xml:space="preserve"> </w:t>
      </w:r>
      <w:proofErr w:type="spellStart"/>
      <w:r w:rsidRPr="001D11CD">
        <w:rPr>
          <w:i/>
          <w:lang w:val="bg-BG"/>
        </w:rPr>
        <w:t>Lista</w:t>
      </w:r>
      <w:proofErr w:type="spellEnd"/>
      <w:r w:rsidRPr="001D11CD">
        <w:rPr>
          <w:i/>
          <w:lang w:val="bg-BG"/>
        </w:rPr>
        <w:t xml:space="preserve"> </w:t>
      </w:r>
      <w:proofErr w:type="spellStart"/>
      <w:r w:rsidRPr="001D11CD">
        <w:rPr>
          <w:i/>
          <w:lang w:val="bg-BG"/>
        </w:rPr>
        <w:t>Marco</w:t>
      </w:r>
      <w:proofErr w:type="spellEnd"/>
      <w:r w:rsidRPr="001D11CD">
        <w:rPr>
          <w:i/>
          <w:lang w:val="bg-BG"/>
        </w:rPr>
        <w:t xml:space="preserve"> </w:t>
      </w:r>
      <w:proofErr w:type="spellStart"/>
      <w:r w:rsidRPr="001D11CD">
        <w:rPr>
          <w:i/>
          <w:lang w:val="bg-BG"/>
        </w:rPr>
        <w:t>Pannella</w:t>
      </w:r>
      <w:proofErr w:type="spellEnd"/>
      <w:r w:rsidRPr="001D11CD">
        <w:rPr>
          <w:i/>
          <w:lang w:val="bg-BG"/>
        </w:rPr>
        <w:t xml:space="preserve"> </w:t>
      </w:r>
      <w:proofErr w:type="spellStart"/>
      <w:r w:rsidRPr="001D11CD">
        <w:rPr>
          <w:i/>
          <w:lang w:val="bg-BG"/>
        </w:rPr>
        <w:t>et</w:t>
      </w:r>
      <w:proofErr w:type="spellEnd"/>
      <w:r w:rsidRPr="001D11CD">
        <w:rPr>
          <w:i/>
          <w:lang w:val="bg-BG"/>
        </w:rPr>
        <w:t xml:space="preserve"> </w:t>
      </w:r>
      <w:proofErr w:type="spellStart"/>
      <w:r w:rsidRPr="001D11CD">
        <w:rPr>
          <w:i/>
          <w:lang w:val="bg-BG"/>
        </w:rPr>
        <w:t>Radicali</w:t>
      </w:r>
      <w:proofErr w:type="spellEnd"/>
      <w:r w:rsidRPr="001D11CD">
        <w:rPr>
          <w:i/>
          <w:lang w:val="bg-BG"/>
        </w:rPr>
        <w:t xml:space="preserve"> </w:t>
      </w:r>
      <w:proofErr w:type="spellStart"/>
      <w:r w:rsidRPr="001D11CD">
        <w:rPr>
          <w:i/>
          <w:lang w:val="bg-BG"/>
        </w:rPr>
        <w:t>Italiani</w:t>
      </w:r>
      <w:proofErr w:type="spellEnd"/>
      <w:r w:rsidRPr="001D11CD">
        <w:rPr>
          <w:i/>
          <w:lang w:val="bg-BG"/>
        </w:rPr>
        <w:t xml:space="preserve"> c. </w:t>
      </w:r>
      <w:proofErr w:type="spellStart"/>
      <w:r w:rsidRPr="001D11CD">
        <w:rPr>
          <w:i/>
          <w:lang w:val="bg-BG"/>
        </w:rPr>
        <w:t>Italie</w:t>
      </w:r>
      <w:proofErr w:type="spellEnd"/>
      <w:r w:rsidR="00565403" w:rsidRPr="001D11CD">
        <w:rPr>
          <w:i/>
          <w:lang w:val="bg-BG"/>
        </w:rPr>
        <w:t>)</w:t>
      </w:r>
      <w:r w:rsidRPr="001D11CD">
        <w:rPr>
          <w:lang w:val="bg-BG"/>
        </w:rPr>
        <w:t xml:space="preserve">, </w:t>
      </w:r>
      <w:r w:rsidR="005B7F1D" w:rsidRPr="001D11CD">
        <w:rPr>
          <w:lang w:val="bg-BG"/>
        </w:rPr>
        <w:t>№ 2</w:t>
      </w:r>
      <w:r w:rsidRPr="001D11CD">
        <w:rPr>
          <w:lang w:val="bg-BG"/>
        </w:rPr>
        <w:t>0002/13, § 93, 31 </w:t>
      </w:r>
      <w:r w:rsidR="003249CC" w:rsidRPr="001D11CD">
        <w:rPr>
          <w:lang w:val="bg-BG"/>
        </w:rPr>
        <w:t>август</w:t>
      </w:r>
      <w:r w:rsidRPr="001D11CD">
        <w:rPr>
          <w:lang w:val="bg-BG"/>
        </w:rPr>
        <w:t xml:space="preserve"> 2021</w:t>
      </w:r>
      <w:r w:rsidR="00441ED2" w:rsidRPr="001D11CD">
        <w:rPr>
          <w:lang w:val="bg-BG"/>
        </w:rPr>
        <w:t> г.</w:t>
      </w:r>
      <w:r w:rsidRPr="001D11CD">
        <w:rPr>
          <w:lang w:val="bg-BG"/>
        </w:rPr>
        <w:t>).</w:t>
      </w:r>
    </w:p>
    <w:bookmarkStart w:id="19" w:name="Para56new"/>
    <w:p w14:paraId="7A8BFB04" w14:textId="2060D19C" w:rsidR="002B6782"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55</w:t>
      </w:r>
      <w:r w:rsidRPr="001D11CD">
        <w:rPr>
          <w:lang w:val="bg-BG"/>
        </w:rPr>
        <w:fldChar w:fldCharType="end"/>
      </w:r>
      <w:bookmarkEnd w:id="19"/>
      <w:r w:rsidRPr="001D11CD">
        <w:rPr>
          <w:lang w:val="bg-BG"/>
        </w:rPr>
        <w:t>.  </w:t>
      </w:r>
      <w:r w:rsidR="002B6782" w:rsidRPr="001D11CD">
        <w:rPr>
          <w:lang w:val="bg-BG"/>
        </w:rPr>
        <w:t xml:space="preserve">Същевременно Съдът е загрижен за зачитането на насърчаваните от Конвенцията ценности на „демократичното общество“, на първо място сред които са плурализмът, толерантността и </w:t>
      </w:r>
      <w:r w:rsidR="00BB2DE3" w:rsidRPr="001D11CD">
        <w:rPr>
          <w:lang w:val="bg-BG"/>
        </w:rPr>
        <w:t>широтата на възгледите</w:t>
      </w:r>
      <w:r w:rsidR="00634522" w:rsidRPr="001D11CD">
        <w:rPr>
          <w:lang w:val="bg-BG"/>
        </w:rPr>
        <w:t xml:space="preserve"> (в</w:t>
      </w:r>
      <w:r w:rsidR="002B6782" w:rsidRPr="001D11CD">
        <w:rPr>
          <w:lang w:val="bg-BG"/>
        </w:rPr>
        <w:t>ж</w:t>
      </w:r>
      <w:r w:rsidR="00634522" w:rsidRPr="001D11CD">
        <w:rPr>
          <w:lang w:val="bg-BG"/>
        </w:rPr>
        <w:t>.</w:t>
      </w:r>
      <w:r w:rsidR="002B6782" w:rsidRPr="001D11CD">
        <w:rPr>
          <w:lang w:val="bg-BG"/>
        </w:rPr>
        <w:t xml:space="preserve"> </w:t>
      </w:r>
      <w:proofErr w:type="spellStart"/>
      <w:r w:rsidR="002B6782" w:rsidRPr="001D11CD">
        <w:rPr>
          <w:i/>
          <w:lang w:val="bg-BG"/>
        </w:rPr>
        <w:t>mutatis</w:t>
      </w:r>
      <w:proofErr w:type="spellEnd"/>
      <w:r w:rsidR="002B6782" w:rsidRPr="001D11CD">
        <w:rPr>
          <w:i/>
          <w:lang w:val="bg-BG"/>
        </w:rPr>
        <w:t xml:space="preserve"> </w:t>
      </w:r>
      <w:proofErr w:type="spellStart"/>
      <w:r w:rsidR="002B6782" w:rsidRPr="001D11CD">
        <w:rPr>
          <w:i/>
          <w:lang w:val="bg-BG"/>
        </w:rPr>
        <w:t>mutandis</w:t>
      </w:r>
      <w:proofErr w:type="spellEnd"/>
      <w:r w:rsidR="002B6782" w:rsidRPr="001D11CD">
        <w:rPr>
          <w:lang w:val="bg-BG"/>
        </w:rPr>
        <w:t xml:space="preserve">, </w:t>
      </w:r>
      <w:r w:rsidR="00BB2DE3" w:rsidRPr="001D11CD">
        <w:rPr>
          <w:i/>
          <w:lang w:val="bg-BG"/>
        </w:rPr>
        <w:t>Йънг, Джеймс и Уебстър срещу Обединеното кралство (</w:t>
      </w:r>
      <w:r w:rsidR="002B6782" w:rsidRPr="001D11CD">
        <w:rPr>
          <w:i/>
          <w:lang w:val="bg-BG"/>
        </w:rPr>
        <w:t xml:space="preserve">Young, James </w:t>
      </w:r>
      <w:proofErr w:type="spellStart"/>
      <w:r w:rsidR="002B6782" w:rsidRPr="001D11CD">
        <w:rPr>
          <w:i/>
          <w:lang w:val="bg-BG"/>
        </w:rPr>
        <w:t>and</w:t>
      </w:r>
      <w:proofErr w:type="spellEnd"/>
      <w:r w:rsidR="002B6782" w:rsidRPr="001D11CD">
        <w:rPr>
          <w:i/>
          <w:lang w:val="bg-BG"/>
        </w:rPr>
        <w:t xml:space="preserve"> </w:t>
      </w:r>
      <w:proofErr w:type="spellStart"/>
      <w:r w:rsidR="002B6782" w:rsidRPr="001D11CD">
        <w:rPr>
          <w:i/>
          <w:lang w:val="bg-BG"/>
        </w:rPr>
        <w:t>Webster</w:t>
      </w:r>
      <w:proofErr w:type="spellEnd"/>
      <w:r w:rsidR="002B6782" w:rsidRPr="001D11CD">
        <w:rPr>
          <w:i/>
          <w:lang w:val="bg-BG"/>
        </w:rPr>
        <w:t xml:space="preserve"> v. </w:t>
      </w:r>
      <w:proofErr w:type="spellStart"/>
      <w:r w:rsidR="002B6782" w:rsidRPr="001D11CD">
        <w:rPr>
          <w:i/>
          <w:lang w:val="bg-BG"/>
        </w:rPr>
        <w:t>United</w:t>
      </w:r>
      <w:proofErr w:type="spellEnd"/>
      <w:r w:rsidR="002B6782" w:rsidRPr="001D11CD">
        <w:rPr>
          <w:i/>
          <w:lang w:val="bg-BG"/>
        </w:rPr>
        <w:t xml:space="preserve"> </w:t>
      </w:r>
      <w:proofErr w:type="spellStart"/>
      <w:r w:rsidR="002B6782" w:rsidRPr="001D11CD">
        <w:rPr>
          <w:i/>
          <w:lang w:val="bg-BG"/>
        </w:rPr>
        <w:t>Kingdom</w:t>
      </w:r>
      <w:proofErr w:type="spellEnd"/>
      <w:r w:rsidR="00BB2DE3" w:rsidRPr="001D11CD">
        <w:rPr>
          <w:i/>
          <w:lang w:val="bg-BG"/>
        </w:rPr>
        <w:t>)</w:t>
      </w:r>
      <w:r w:rsidR="002B6782" w:rsidRPr="001D11CD">
        <w:rPr>
          <w:i/>
          <w:lang w:val="bg-BG"/>
        </w:rPr>
        <w:t xml:space="preserve">, </w:t>
      </w:r>
      <w:r w:rsidR="002B6782" w:rsidRPr="001D11CD">
        <w:rPr>
          <w:lang w:val="bg-BG"/>
        </w:rPr>
        <w:t>13 Август 1981</w:t>
      </w:r>
      <w:r w:rsidR="00634522" w:rsidRPr="001D11CD">
        <w:rPr>
          <w:lang w:val="bg-BG"/>
        </w:rPr>
        <w:t> г.</w:t>
      </w:r>
      <w:r w:rsidR="002B6782" w:rsidRPr="001D11CD">
        <w:rPr>
          <w:lang w:val="bg-BG"/>
        </w:rPr>
        <w:t xml:space="preserve">, § 63, Серия A № 44, </w:t>
      </w:r>
      <w:proofErr w:type="spellStart"/>
      <w:r w:rsidR="00BB2DE3" w:rsidRPr="001D11CD">
        <w:rPr>
          <w:i/>
          <w:lang w:val="bg-BG"/>
        </w:rPr>
        <w:t>Шасаню</w:t>
      </w:r>
      <w:proofErr w:type="spellEnd"/>
      <w:r w:rsidR="00BB2DE3" w:rsidRPr="001D11CD">
        <w:rPr>
          <w:i/>
          <w:lang w:val="bg-BG"/>
        </w:rPr>
        <w:t xml:space="preserve"> </w:t>
      </w:r>
      <w:r w:rsidR="002B6782" w:rsidRPr="001D11CD">
        <w:rPr>
          <w:i/>
          <w:lang w:val="bg-BG"/>
        </w:rPr>
        <w:t>и други срещу Франция</w:t>
      </w:r>
      <w:r w:rsidR="00BB2DE3" w:rsidRPr="001D11CD">
        <w:rPr>
          <w:i/>
          <w:lang w:val="bg-BG"/>
        </w:rPr>
        <w:t xml:space="preserve"> (</w:t>
      </w:r>
      <w:proofErr w:type="spellStart"/>
      <w:r w:rsidR="00BB2DE3" w:rsidRPr="001D11CD">
        <w:rPr>
          <w:i/>
          <w:lang w:val="bg-BG"/>
        </w:rPr>
        <w:t>Chassagnou</w:t>
      </w:r>
      <w:proofErr w:type="spellEnd"/>
      <w:r w:rsidR="00BB2DE3" w:rsidRPr="001D11CD">
        <w:rPr>
          <w:i/>
          <w:lang w:val="bg-BG"/>
        </w:rPr>
        <w:t xml:space="preserve"> </w:t>
      </w:r>
      <w:proofErr w:type="spellStart"/>
      <w:r w:rsidR="00BB2DE3" w:rsidRPr="001D11CD">
        <w:rPr>
          <w:i/>
          <w:lang w:val="bg-BG"/>
        </w:rPr>
        <w:t>et</w:t>
      </w:r>
      <w:proofErr w:type="spellEnd"/>
      <w:r w:rsidR="00BB2DE3" w:rsidRPr="001D11CD">
        <w:rPr>
          <w:i/>
          <w:lang w:val="bg-BG"/>
        </w:rPr>
        <w:t xml:space="preserve"> </w:t>
      </w:r>
      <w:proofErr w:type="spellStart"/>
      <w:r w:rsidR="00BB2DE3" w:rsidRPr="001D11CD">
        <w:rPr>
          <w:i/>
          <w:lang w:val="bg-BG"/>
        </w:rPr>
        <w:t>autres</w:t>
      </w:r>
      <w:proofErr w:type="spellEnd"/>
      <w:r w:rsidR="00BB2DE3" w:rsidRPr="001D11CD">
        <w:rPr>
          <w:i/>
          <w:lang w:val="bg-BG"/>
        </w:rPr>
        <w:t xml:space="preserve"> c. </w:t>
      </w:r>
      <w:proofErr w:type="spellStart"/>
      <w:r w:rsidR="00BB2DE3" w:rsidRPr="001D11CD">
        <w:rPr>
          <w:i/>
          <w:lang w:val="bg-BG"/>
        </w:rPr>
        <w:t>France</w:t>
      </w:r>
      <w:proofErr w:type="spellEnd"/>
      <w:r w:rsidR="00BB2DE3" w:rsidRPr="001D11CD">
        <w:rPr>
          <w:i/>
          <w:lang w:val="bg-BG"/>
        </w:rPr>
        <w:t>)</w:t>
      </w:r>
      <w:r w:rsidR="00E13D88">
        <w:rPr>
          <w:lang w:val="bg-BG"/>
        </w:rPr>
        <w:t xml:space="preserve"> [</w:t>
      </w:r>
      <w:r w:rsidR="00174D23">
        <w:rPr>
          <w:lang w:val="en-US"/>
        </w:rPr>
        <w:t>G</w:t>
      </w:r>
      <w:r w:rsidR="00174D23">
        <w:rPr>
          <w:lang w:val="bg-BG"/>
        </w:rPr>
        <w:t>С</w:t>
      </w:r>
      <w:r w:rsidR="002B6782" w:rsidRPr="001D11CD">
        <w:rPr>
          <w:lang w:val="bg-BG"/>
        </w:rPr>
        <w:t>], № 43835/11, § 128, ЕСПЧ 2014</w:t>
      </w:r>
      <w:r w:rsidR="00634522" w:rsidRPr="001D11CD">
        <w:rPr>
          <w:lang w:val="bg-BG"/>
        </w:rPr>
        <w:t> г.</w:t>
      </w:r>
      <w:r w:rsidR="002B6782" w:rsidRPr="001D11CD">
        <w:rPr>
          <w:lang w:val="bg-BG"/>
        </w:rPr>
        <w:t xml:space="preserve">). Всяко тълкуване на </w:t>
      </w:r>
      <w:r w:rsidR="00BB2DE3" w:rsidRPr="001D11CD">
        <w:rPr>
          <w:lang w:val="bg-BG"/>
        </w:rPr>
        <w:t xml:space="preserve">гарантираните от Конвенцията </w:t>
      </w:r>
      <w:r w:rsidR="002B6782" w:rsidRPr="001D11CD">
        <w:rPr>
          <w:lang w:val="bg-BG"/>
        </w:rPr>
        <w:t xml:space="preserve">права и свободи трябва да </w:t>
      </w:r>
      <w:r w:rsidR="00BB2DE3" w:rsidRPr="001D11CD">
        <w:rPr>
          <w:lang w:val="bg-BG"/>
        </w:rPr>
        <w:t>отговаря на</w:t>
      </w:r>
      <w:r w:rsidR="002B6782" w:rsidRPr="001D11CD">
        <w:rPr>
          <w:lang w:val="bg-BG"/>
        </w:rPr>
        <w:t xml:space="preserve"> нейния общ дух, който се стреми да защитава и насърчава идеалите и ценностите на едно „демократично общество“ (виж </w:t>
      </w:r>
      <w:proofErr w:type="spellStart"/>
      <w:r w:rsidR="002B6782" w:rsidRPr="00174D23">
        <w:rPr>
          <w:i/>
          <w:iCs/>
          <w:lang w:val="bg-BG"/>
        </w:rPr>
        <w:t>mutatis</w:t>
      </w:r>
      <w:proofErr w:type="spellEnd"/>
      <w:r w:rsidR="002B6782" w:rsidRPr="00174D23">
        <w:rPr>
          <w:i/>
          <w:iCs/>
          <w:lang w:val="bg-BG"/>
        </w:rPr>
        <w:t xml:space="preserve"> </w:t>
      </w:r>
      <w:proofErr w:type="spellStart"/>
      <w:r w:rsidR="002B6782" w:rsidRPr="00174D23">
        <w:rPr>
          <w:i/>
          <w:iCs/>
          <w:lang w:val="bg-BG"/>
        </w:rPr>
        <w:t>mutandis</w:t>
      </w:r>
      <w:proofErr w:type="spellEnd"/>
      <w:r w:rsidR="002B6782" w:rsidRPr="001D11CD">
        <w:rPr>
          <w:lang w:val="bg-BG"/>
        </w:rPr>
        <w:t xml:space="preserve">, </w:t>
      </w:r>
      <w:proofErr w:type="spellStart"/>
      <w:r w:rsidR="00BB2DE3" w:rsidRPr="001D11CD">
        <w:rPr>
          <w:i/>
          <w:lang w:val="bg-BG"/>
        </w:rPr>
        <w:t>Федотов</w:t>
      </w:r>
      <w:proofErr w:type="spellEnd"/>
      <w:r w:rsidR="002B6782" w:rsidRPr="001D11CD">
        <w:rPr>
          <w:i/>
          <w:lang w:val="bg-BG"/>
        </w:rPr>
        <w:t xml:space="preserve"> и други срещу Русия</w:t>
      </w:r>
      <w:r w:rsidR="00BB2DE3" w:rsidRPr="001D11CD">
        <w:rPr>
          <w:i/>
          <w:lang w:val="bg-BG"/>
        </w:rPr>
        <w:t xml:space="preserve"> (</w:t>
      </w:r>
      <w:proofErr w:type="spellStart"/>
      <w:r w:rsidR="00BB2DE3" w:rsidRPr="001D11CD">
        <w:rPr>
          <w:i/>
          <w:iCs/>
          <w:lang w:val="bg-BG"/>
        </w:rPr>
        <w:t>Fedotov</w:t>
      </w:r>
      <w:proofErr w:type="spellEnd"/>
      <w:r w:rsidR="00BB2DE3" w:rsidRPr="001D11CD">
        <w:rPr>
          <w:i/>
          <w:iCs/>
          <w:lang w:val="bg-BG"/>
        </w:rPr>
        <w:t xml:space="preserve"> </w:t>
      </w:r>
      <w:proofErr w:type="spellStart"/>
      <w:r w:rsidR="00BB2DE3" w:rsidRPr="001D11CD">
        <w:rPr>
          <w:i/>
          <w:iCs/>
          <w:lang w:val="bg-BG"/>
        </w:rPr>
        <w:t>et</w:t>
      </w:r>
      <w:proofErr w:type="spellEnd"/>
      <w:r w:rsidR="00BB2DE3" w:rsidRPr="001D11CD">
        <w:rPr>
          <w:i/>
          <w:iCs/>
          <w:lang w:val="bg-BG"/>
        </w:rPr>
        <w:t xml:space="preserve"> </w:t>
      </w:r>
      <w:proofErr w:type="spellStart"/>
      <w:r w:rsidR="00BB2DE3" w:rsidRPr="001D11CD">
        <w:rPr>
          <w:i/>
          <w:iCs/>
          <w:lang w:val="bg-BG"/>
        </w:rPr>
        <w:t>autres</w:t>
      </w:r>
      <w:proofErr w:type="spellEnd"/>
      <w:r w:rsidR="00BB2DE3" w:rsidRPr="001D11CD">
        <w:rPr>
          <w:i/>
          <w:iCs/>
          <w:lang w:val="bg-BG"/>
        </w:rPr>
        <w:t xml:space="preserve"> c. </w:t>
      </w:r>
      <w:proofErr w:type="spellStart"/>
      <w:r w:rsidR="00BB2DE3" w:rsidRPr="001D11CD">
        <w:rPr>
          <w:i/>
          <w:iCs/>
          <w:lang w:val="bg-BG"/>
        </w:rPr>
        <w:t>Russie</w:t>
      </w:r>
      <w:proofErr w:type="spellEnd"/>
      <w:r w:rsidR="00BB2DE3" w:rsidRPr="001D11CD">
        <w:rPr>
          <w:i/>
          <w:iCs/>
          <w:lang w:val="bg-BG"/>
        </w:rPr>
        <w:t>)</w:t>
      </w:r>
      <w:r w:rsidR="002B6782" w:rsidRPr="001D11CD">
        <w:rPr>
          <w:lang w:val="bg-BG"/>
        </w:rPr>
        <w:t xml:space="preserve"> [</w:t>
      </w:r>
      <w:r w:rsidR="00174D23">
        <w:rPr>
          <w:lang w:val="en-US"/>
        </w:rPr>
        <w:t>G</w:t>
      </w:r>
      <w:r w:rsidR="00634522" w:rsidRPr="001D11CD">
        <w:rPr>
          <w:lang w:val="bg-BG"/>
        </w:rPr>
        <w:t>С</w:t>
      </w:r>
      <w:r w:rsidR="002B6782" w:rsidRPr="001D11CD">
        <w:rPr>
          <w:lang w:val="bg-BG"/>
        </w:rPr>
        <w:t xml:space="preserve">], </w:t>
      </w:r>
      <w:r w:rsidR="00BB2DE3" w:rsidRPr="001D11CD">
        <w:rPr>
          <w:lang w:val="bg-BG"/>
        </w:rPr>
        <w:t>№</w:t>
      </w:r>
      <w:r w:rsidR="002B6782" w:rsidRPr="001D11CD">
        <w:rPr>
          <w:lang w:val="bg-BG"/>
        </w:rPr>
        <w:t xml:space="preserve"> 40792/10, 30538/14 и 43439/14, §179, 17 януари 2023</w:t>
      </w:r>
      <w:r w:rsidR="00634522" w:rsidRPr="001D11CD">
        <w:rPr>
          <w:lang w:val="bg-BG"/>
        </w:rPr>
        <w:t> г.</w:t>
      </w:r>
      <w:r w:rsidR="002B6782" w:rsidRPr="001D11CD">
        <w:rPr>
          <w:lang w:val="bg-BG"/>
        </w:rPr>
        <w:t xml:space="preserve">, с </w:t>
      </w:r>
      <w:r w:rsidR="00BB2DE3" w:rsidRPr="001D11CD">
        <w:rPr>
          <w:lang w:val="bg-BG"/>
        </w:rPr>
        <w:t xml:space="preserve">цитираните там </w:t>
      </w:r>
      <w:r w:rsidR="002B6782" w:rsidRPr="001D11CD">
        <w:rPr>
          <w:lang w:val="bg-BG"/>
        </w:rPr>
        <w:t>препратки).</w:t>
      </w:r>
    </w:p>
    <w:p w14:paraId="68A89F94" w14:textId="5E10A8CF" w:rsidR="00BB2DE3"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56</w:t>
      </w:r>
      <w:r w:rsidRPr="001D11CD">
        <w:rPr>
          <w:lang w:val="bg-BG"/>
        </w:rPr>
        <w:fldChar w:fldCharType="end"/>
      </w:r>
      <w:r w:rsidRPr="001D11CD">
        <w:rPr>
          <w:lang w:val="bg-BG"/>
        </w:rPr>
        <w:t>.  </w:t>
      </w:r>
      <w:r w:rsidR="00BB2DE3" w:rsidRPr="001D11CD">
        <w:rPr>
          <w:lang w:val="bg-BG"/>
        </w:rPr>
        <w:t>Съдът припомня от самото начало, че освен специфичните права, провъзгласени в членове 5</w:t>
      </w:r>
      <w:r w:rsidR="00634522" w:rsidRPr="001D11CD">
        <w:rPr>
          <w:lang w:val="bg-BG"/>
        </w:rPr>
        <w:t>,</w:t>
      </w:r>
      <w:r w:rsidR="00BB2DE3" w:rsidRPr="001D11CD">
        <w:rPr>
          <w:lang w:val="bg-BG"/>
        </w:rPr>
        <w:t xml:space="preserve"> § 2 (право на дадено лице да бъде информирано </w:t>
      </w:r>
      <w:r w:rsidR="001F7916" w:rsidRPr="001D11CD">
        <w:rPr>
          <w:lang w:val="bg-BG"/>
        </w:rPr>
        <w:t>незабавно</w:t>
      </w:r>
      <w:r w:rsidR="00BB2DE3" w:rsidRPr="001D11CD">
        <w:rPr>
          <w:lang w:val="bg-BG"/>
        </w:rPr>
        <w:t xml:space="preserve"> и на език, който разбира, за причините за ареста си) и 6</w:t>
      </w:r>
      <w:r w:rsidR="00634522" w:rsidRPr="001D11CD">
        <w:rPr>
          <w:lang w:val="bg-BG"/>
        </w:rPr>
        <w:t>,</w:t>
      </w:r>
      <w:r w:rsidR="00BB2DE3" w:rsidRPr="001D11CD">
        <w:rPr>
          <w:lang w:val="bg-BG"/>
        </w:rPr>
        <w:t xml:space="preserve"> § 3 а) и д) (право на лице</w:t>
      </w:r>
      <w:r w:rsidR="001F7916" w:rsidRPr="001D11CD">
        <w:rPr>
          <w:lang w:val="bg-BG"/>
        </w:rPr>
        <w:t>то</w:t>
      </w:r>
      <w:r w:rsidR="00BB2DE3" w:rsidRPr="001D11CD">
        <w:rPr>
          <w:lang w:val="bg-BG"/>
        </w:rPr>
        <w:t xml:space="preserve"> да бъде информирано </w:t>
      </w:r>
      <w:r w:rsidR="001F7916" w:rsidRPr="001D11CD">
        <w:rPr>
          <w:lang w:val="bg-BG"/>
        </w:rPr>
        <w:t xml:space="preserve">незабавно </w:t>
      </w:r>
      <w:r w:rsidR="00BB2DE3" w:rsidRPr="001D11CD">
        <w:rPr>
          <w:lang w:val="bg-BG"/>
        </w:rPr>
        <w:t xml:space="preserve">и на език, който разбира, за естеството и причината </w:t>
      </w:r>
      <w:r w:rsidR="00103442" w:rsidRPr="001D11CD">
        <w:rPr>
          <w:lang w:val="bg-BG"/>
        </w:rPr>
        <w:t>н</w:t>
      </w:r>
      <w:r w:rsidR="00BB2DE3" w:rsidRPr="001D11CD">
        <w:rPr>
          <w:lang w:val="bg-BG"/>
        </w:rPr>
        <w:t xml:space="preserve">а повдигнатото срещу него обвинение и да </w:t>
      </w:r>
      <w:r w:rsidR="001F7916" w:rsidRPr="001D11CD">
        <w:rPr>
          <w:lang w:val="bg-BG"/>
        </w:rPr>
        <w:t xml:space="preserve">ползва услугите на </w:t>
      </w:r>
      <w:r w:rsidR="00BB2DE3" w:rsidRPr="001D11CD">
        <w:rPr>
          <w:lang w:val="bg-BG"/>
        </w:rPr>
        <w:t>преводач, ако не разбира или не говори език</w:t>
      </w:r>
      <w:r w:rsidR="001F7916" w:rsidRPr="001D11CD">
        <w:rPr>
          <w:lang w:val="bg-BG"/>
        </w:rPr>
        <w:t>а</w:t>
      </w:r>
      <w:r w:rsidR="00BB2DE3" w:rsidRPr="001D11CD">
        <w:rPr>
          <w:lang w:val="bg-BG"/>
        </w:rPr>
        <w:t xml:space="preserve">, използван в съда), Конвенцията не гарантира </w:t>
      </w:r>
      <w:proofErr w:type="spellStart"/>
      <w:r w:rsidR="001F7916" w:rsidRPr="001D11CD">
        <w:rPr>
          <w:i/>
          <w:lang w:val="bg-BG"/>
        </w:rPr>
        <w:t>per</w:t>
      </w:r>
      <w:proofErr w:type="spellEnd"/>
      <w:r w:rsidR="001F7916" w:rsidRPr="001D11CD">
        <w:rPr>
          <w:i/>
          <w:lang w:val="bg-BG"/>
        </w:rPr>
        <w:t xml:space="preserve"> </w:t>
      </w:r>
      <w:proofErr w:type="spellStart"/>
      <w:r w:rsidR="001F7916" w:rsidRPr="001D11CD">
        <w:rPr>
          <w:i/>
          <w:lang w:val="bg-BG"/>
        </w:rPr>
        <w:t>se</w:t>
      </w:r>
      <w:proofErr w:type="spellEnd"/>
      <w:r w:rsidR="001F7916" w:rsidRPr="001D11CD">
        <w:rPr>
          <w:i/>
          <w:lang w:val="bg-BG"/>
        </w:rPr>
        <w:t xml:space="preserve"> </w:t>
      </w:r>
      <w:r w:rsidR="00BB2DE3" w:rsidRPr="001D11CD">
        <w:rPr>
          <w:lang w:val="bg-BG"/>
        </w:rPr>
        <w:t xml:space="preserve">нито правото на дадено лице да използва определен език в комуникацията си с </w:t>
      </w:r>
      <w:r w:rsidR="00103442" w:rsidRPr="001D11CD">
        <w:rPr>
          <w:lang w:val="bg-BG"/>
        </w:rPr>
        <w:t>публич</w:t>
      </w:r>
      <w:r w:rsidR="00BB2DE3" w:rsidRPr="001D11CD">
        <w:rPr>
          <w:lang w:val="bg-BG"/>
        </w:rPr>
        <w:t>ните органи, нито това да получава информация на език по свой избор (</w:t>
      </w:r>
      <w:proofErr w:type="spellStart"/>
      <w:r w:rsidR="00BB2DE3" w:rsidRPr="001D11CD">
        <w:rPr>
          <w:i/>
          <w:lang w:val="bg-BG"/>
        </w:rPr>
        <w:t>Шукран</w:t>
      </w:r>
      <w:proofErr w:type="spellEnd"/>
      <w:r w:rsidR="00BB2DE3" w:rsidRPr="001D11CD">
        <w:rPr>
          <w:i/>
          <w:lang w:val="bg-BG"/>
        </w:rPr>
        <w:t xml:space="preserve"> Айдън и други</w:t>
      </w:r>
      <w:r w:rsidR="00BB2DE3" w:rsidRPr="001D11CD">
        <w:rPr>
          <w:lang w:val="bg-BG"/>
        </w:rPr>
        <w:t xml:space="preserve">, горецитирано, § 50, </w:t>
      </w:r>
      <w:proofErr w:type="spellStart"/>
      <w:r w:rsidR="001F7916" w:rsidRPr="001D11CD">
        <w:rPr>
          <w:i/>
          <w:lang w:val="bg-BG"/>
        </w:rPr>
        <w:t>Менцен</w:t>
      </w:r>
      <w:proofErr w:type="spellEnd"/>
      <w:r w:rsidR="00BB2DE3" w:rsidRPr="001D11CD">
        <w:rPr>
          <w:lang w:val="bg-BG"/>
        </w:rPr>
        <w:t>, горецитирано</w:t>
      </w:r>
      <w:r w:rsidR="001F7916" w:rsidRPr="001D11CD">
        <w:rPr>
          <w:lang w:val="bg-BG"/>
        </w:rPr>
        <w:t>то решение</w:t>
      </w:r>
      <w:r w:rsidR="00BB2DE3" w:rsidRPr="001D11CD">
        <w:rPr>
          <w:lang w:val="bg-BG"/>
        </w:rPr>
        <w:t xml:space="preserve">, и </w:t>
      </w:r>
      <w:proofErr w:type="spellStart"/>
      <w:r w:rsidR="00BB2DE3" w:rsidRPr="001D11CD">
        <w:rPr>
          <w:i/>
          <w:lang w:val="bg-BG"/>
        </w:rPr>
        <w:t>Козлов</w:t>
      </w:r>
      <w:r w:rsidR="00E13D88">
        <w:rPr>
          <w:i/>
          <w:lang w:val="bg-BG"/>
        </w:rPr>
        <w:t>с</w:t>
      </w:r>
      <w:proofErr w:type="spellEnd"/>
      <w:r w:rsidR="00BB2DE3" w:rsidRPr="001D11CD">
        <w:rPr>
          <w:i/>
          <w:lang w:val="bg-BG"/>
        </w:rPr>
        <w:t xml:space="preserve"> срещу Латвия</w:t>
      </w:r>
      <w:r w:rsidR="00BB2DE3" w:rsidRPr="001D11CD">
        <w:rPr>
          <w:lang w:val="bg-BG"/>
        </w:rPr>
        <w:t xml:space="preserve"> </w:t>
      </w:r>
      <w:r w:rsidR="00956A69" w:rsidRPr="001D11CD">
        <w:rPr>
          <w:i/>
          <w:lang w:val="bg-BG"/>
        </w:rPr>
        <w:t>(</w:t>
      </w:r>
      <w:proofErr w:type="spellStart"/>
      <w:r w:rsidR="00956A69" w:rsidRPr="001D11CD">
        <w:rPr>
          <w:i/>
          <w:lang w:val="bg-BG"/>
        </w:rPr>
        <w:t>Kozlovs</w:t>
      </w:r>
      <w:proofErr w:type="spellEnd"/>
      <w:r w:rsidR="00956A69" w:rsidRPr="001D11CD">
        <w:rPr>
          <w:lang w:val="bg-BG"/>
        </w:rPr>
        <w:t xml:space="preserve"> </w:t>
      </w:r>
      <w:r w:rsidR="00956A69" w:rsidRPr="001D11CD">
        <w:rPr>
          <w:i/>
          <w:lang w:val="bg-BG"/>
        </w:rPr>
        <w:t xml:space="preserve">c. </w:t>
      </w:r>
      <w:proofErr w:type="spellStart"/>
      <w:r w:rsidR="00DF197A" w:rsidRPr="001D11CD">
        <w:rPr>
          <w:i/>
          <w:lang w:val="bg-BG"/>
        </w:rPr>
        <w:t>Lettonie</w:t>
      </w:r>
      <w:proofErr w:type="spellEnd"/>
      <w:r w:rsidR="00956A69" w:rsidRPr="001D11CD">
        <w:rPr>
          <w:i/>
          <w:lang w:val="bg-BG"/>
        </w:rPr>
        <w:t xml:space="preserve">) </w:t>
      </w:r>
      <w:r w:rsidR="00BB2DE3" w:rsidRPr="001D11CD">
        <w:rPr>
          <w:lang w:val="bg-BG"/>
        </w:rPr>
        <w:t>(реш</w:t>
      </w:r>
      <w:r w:rsidR="00956A69" w:rsidRPr="001D11CD">
        <w:rPr>
          <w:lang w:val="bg-BG"/>
        </w:rPr>
        <w:t>ение по допустимостта</w:t>
      </w:r>
      <w:r w:rsidR="00BB2DE3" w:rsidRPr="001D11CD">
        <w:rPr>
          <w:lang w:val="bg-BG"/>
        </w:rPr>
        <w:t>), № 50835/99, 10 януари 2002</w:t>
      </w:r>
      <w:r w:rsidR="00634522" w:rsidRPr="001D11CD">
        <w:rPr>
          <w:lang w:val="bg-BG"/>
        </w:rPr>
        <w:t> г.</w:t>
      </w:r>
      <w:r w:rsidR="00BB2DE3" w:rsidRPr="001D11CD">
        <w:rPr>
          <w:lang w:val="bg-BG"/>
        </w:rPr>
        <w:t xml:space="preserve">). В тази връзка Съдът посочва също, че Конвенцията не гарантира правото да се използва даден език за комуникация с </w:t>
      </w:r>
      <w:r w:rsidR="00103442" w:rsidRPr="001D11CD">
        <w:rPr>
          <w:lang w:val="bg-BG"/>
        </w:rPr>
        <w:t>публич</w:t>
      </w:r>
      <w:r w:rsidR="00BB2DE3" w:rsidRPr="001D11CD">
        <w:rPr>
          <w:lang w:val="bg-BG"/>
        </w:rPr>
        <w:t xml:space="preserve">ните власти </w:t>
      </w:r>
      <w:r w:rsidR="00956A69" w:rsidRPr="001D11CD">
        <w:rPr>
          <w:lang w:val="bg-BG"/>
        </w:rPr>
        <w:t>по време на избори</w:t>
      </w:r>
      <w:r w:rsidR="00BB2DE3" w:rsidRPr="001D11CD">
        <w:rPr>
          <w:lang w:val="bg-BG"/>
        </w:rPr>
        <w:t xml:space="preserve"> (вж</w:t>
      </w:r>
      <w:r w:rsidR="00634522" w:rsidRPr="001D11CD">
        <w:rPr>
          <w:lang w:val="bg-BG"/>
        </w:rPr>
        <w:t>.</w:t>
      </w:r>
      <w:r w:rsidR="00BB2DE3" w:rsidRPr="001D11CD">
        <w:rPr>
          <w:lang w:val="bg-BG"/>
        </w:rPr>
        <w:t xml:space="preserve"> </w:t>
      </w:r>
      <w:proofErr w:type="spellStart"/>
      <w:r w:rsidR="00956A69" w:rsidRPr="001D11CD">
        <w:rPr>
          <w:i/>
          <w:lang w:val="bg-BG"/>
        </w:rPr>
        <w:t>Fryske</w:t>
      </w:r>
      <w:proofErr w:type="spellEnd"/>
      <w:r w:rsidR="00956A69" w:rsidRPr="001D11CD">
        <w:rPr>
          <w:i/>
          <w:lang w:val="bg-BG"/>
        </w:rPr>
        <w:t xml:space="preserve"> </w:t>
      </w:r>
      <w:proofErr w:type="spellStart"/>
      <w:r w:rsidR="00956A69" w:rsidRPr="001D11CD">
        <w:rPr>
          <w:i/>
          <w:lang w:val="bg-BG"/>
        </w:rPr>
        <w:t>Nasjonale</w:t>
      </w:r>
      <w:proofErr w:type="spellEnd"/>
      <w:r w:rsidR="00956A69" w:rsidRPr="001D11CD">
        <w:rPr>
          <w:i/>
          <w:lang w:val="bg-BG"/>
        </w:rPr>
        <w:t xml:space="preserve"> </w:t>
      </w:r>
      <w:proofErr w:type="spellStart"/>
      <w:r w:rsidR="00956A69" w:rsidRPr="001D11CD">
        <w:rPr>
          <w:i/>
          <w:lang w:val="bg-BG"/>
        </w:rPr>
        <w:t>Partij</w:t>
      </w:r>
      <w:proofErr w:type="spellEnd"/>
      <w:r w:rsidR="00956A69" w:rsidRPr="001D11CD">
        <w:rPr>
          <w:i/>
          <w:lang w:val="bg-BG"/>
        </w:rPr>
        <w:t xml:space="preserve"> </w:t>
      </w:r>
      <w:proofErr w:type="spellStart"/>
      <w:r w:rsidR="00956A69" w:rsidRPr="001D11CD">
        <w:rPr>
          <w:i/>
          <w:lang w:val="bg-BG"/>
        </w:rPr>
        <w:t>et</w:t>
      </w:r>
      <w:proofErr w:type="spellEnd"/>
      <w:r w:rsidR="00956A69" w:rsidRPr="001D11CD">
        <w:rPr>
          <w:i/>
          <w:lang w:val="bg-BG"/>
        </w:rPr>
        <w:t xml:space="preserve"> </w:t>
      </w:r>
      <w:proofErr w:type="spellStart"/>
      <w:r w:rsidR="00956A69" w:rsidRPr="001D11CD">
        <w:rPr>
          <w:i/>
          <w:lang w:val="bg-BG"/>
        </w:rPr>
        <w:t>autres</w:t>
      </w:r>
      <w:proofErr w:type="spellEnd"/>
      <w:r w:rsidR="00956A69" w:rsidRPr="001D11CD">
        <w:rPr>
          <w:i/>
          <w:lang w:val="bg-BG"/>
        </w:rPr>
        <w:t xml:space="preserve"> c. </w:t>
      </w:r>
      <w:proofErr w:type="spellStart"/>
      <w:r w:rsidR="00956A69" w:rsidRPr="001D11CD">
        <w:rPr>
          <w:i/>
          <w:lang w:val="bg-BG"/>
        </w:rPr>
        <w:t>Pays-Bas</w:t>
      </w:r>
      <w:proofErr w:type="spellEnd"/>
      <w:r w:rsidR="00956A69" w:rsidRPr="001D11CD">
        <w:rPr>
          <w:i/>
          <w:lang w:val="bg-BG"/>
        </w:rPr>
        <w:t xml:space="preserve"> (</w:t>
      </w:r>
      <w:proofErr w:type="spellStart"/>
      <w:r w:rsidR="00BB2DE3" w:rsidRPr="001D11CD">
        <w:rPr>
          <w:i/>
          <w:lang w:val="bg-BG"/>
        </w:rPr>
        <w:t>Fryske</w:t>
      </w:r>
      <w:proofErr w:type="spellEnd"/>
      <w:r w:rsidR="00BB2DE3" w:rsidRPr="001D11CD">
        <w:rPr>
          <w:i/>
          <w:lang w:val="bg-BG"/>
        </w:rPr>
        <w:t xml:space="preserve"> </w:t>
      </w:r>
      <w:proofErr w:type="spellStart"/>
      <w:r w:rsidR="00BB2DE3" w:rsidRPr="001D11CD">
        <w:rPr>
          <w:i/>
          <w:lang w:val="bg-BG"/>
        </w:rPr>
        <w:t>Nasjonale</w:t>
      </w:r>
      <w:proofErr w:type="spellEnd"/>
      <w:r w:rsidR="00BB2DE3" w:rsidRPr="001D11CD">
        <w:rPr>
          <w:i/>
          <w:lang w:val="bg-BG"/>
        </w:rPr>
        <w:t xml:space="preserve"> </w:t>
      </w:r>
      <w:proofErr w:type="spellStart"/>
      <w:r w:rsidR="00BB2DE3" w:rsidRPr="001D11CD">
        <w:rPr>
          <w:i/>
          <w:lang w:val="bg-BG"/>
        </w:rPr>
        <w:t>Partij</w:t>
      </w:r>
      <w:proofErr w:type="spellEnd"/>
      <w:r w:rsidR="00BB2DE3" w:rsidRPr="001D11CD">
        <w:rPr>
          <w:i/>
          <w:lang w:val="bg-BG"/>
        </w:rPr>
        <w:t xml:space="preserve"> </w:t>
      </w:r>
      <w:r w:rsidR="00956A69" w:rsidRPr="001D11CD">
        <w:rPr>
          <w:i/>
          <w:lang w:val="bg-BG"/>
        </w:rPr>
        <w:t>и други срещу Нидерландия)</w:t>
      </w:r>
      <w:r w:rsidR="00BB2DE3" w:rsidRPr="001D11CD">
        <w:rPr>
          <w:lang w:val="bg-BG"/>
        </w:rPr>
        <w:t>, № 11100/ 84, решение на Комисията от 12 декември 1985</w:t>
      </w:r>
      <w:r w:rsidR="00634522" w:rsidRPr="001D11CD">
        <w:rPr>
          <w:lang w:val="bg-BG"/>
        </w:rPr>
        <w:t> г.</w:t>
      </w:r>
      <w:r w:rsidR="00BB2DE3" w:rsidRPr="001D11CD">
        <w:rPr>
          <w:lang w:val="bg-BG"/>
        </w:rPr>
        <w:t xml:space="preserve"> и </w:t>
      </w:r>
      <w:r w:rsidR="00BB2DE3" w:rsidRPr="001D11CD">
        <w:rPr>
          <w:i/>
          <w:lang w:val="bg-BG"/>
        </w:rPr>
        <w:t xml:space="preserve">Асоциация </w:t>
      </w:r>
      <w:r w:rsidR="00956A69" w:rsidRPr="001D11CD">
        <w:rPr>
          <w:i/>
          <w:lang w:val="bg-BG"/>
        </w:rPr>
        <w:t>„</w:t>
      </w:r>
      <w:proofErr w:type="spellStart"/>
      <w:r w:rsidR="00BB2DE3" w:rsidRPr="001D11CD">
        <w:rPr>
          <w:i/>
          <w:lang w:val="bg-BG"/>
        </w:rPr>
        <w:t>Андеча</w:t>
      </w:r>
      <w:proofErr w:type="spellEnd"/>
      <w:r w:rsidR="00BB2DE3" w:rsidRPr="001D11CD">
        <w:rPr>
          <w:i/>
          <w:lang w:val="bg-BG"/>
        </w:rPr>
        <w:t xml:space="preserve"> </w:t>
      </w:r>
      <w:proofErr w:type="spellStart"/>
      <w:r w:rsidR="00BB2DE3" w:rsidRPr="001D11CD">
        <w:rPr>
          <w:i/>
          <w:lang w:val="bg-BG"/>
        </w:rPr>
        <w:t>Астур</w:t>
      </w:r>
      <w:proofErr w:type="spellEnd"/>
      <w:r w:rsidR="00956A69" w:rsidRPr="001D11CD">
        <w:rPr>
          <w:i/>
          <w:lang w:val="bg-BG"/>
        </w:rPr>
        <w:t>“</w:t>
      </w:r>
      <w:r w:rsidR="00BB2DE3" w:rsidRPr="001D11CD">
        <w:rPr>
          <w:i/>
          <w:lang w:val="bg-BG"/>
        </w:rPr>
        <w:t xml:space="preserve"> срещу Испания</w:t>
      </w:r>
      <w:r w:rsidR="00956A69" w:rsidRPr="001D11CD">
        <w:rPr>
          <w:i/>
          <w:lang w:val="bg-BG"/>
        </w:rPr>
        <w:t xml:space="preserve"> (</w:t>
      </w:r>
      <w:proofErr w:type="spellStart"/>
      <w:r w:rsidR="00956A69" w:rsidRPr="001D11CD">
        <w:rPr>
          <w:i/>
          <w:lang w:val="bg-BG"/>
        </w:rPr>
        <w:t>Association</w:t>
      </w:r>
      <w:proofErr w:type="spellEnd"/>
      <w:r w:rsidR="00956A69" w:rsidRPr="001D11CD">
        <w:rPr>
          <w:i/>
          <w:lang w:val="bg-BG"/>
        </w:rPr>
        <w:t xml:space="preserve"> « </w:t>
      </w:r>
      <w:proofErr w:type="spellStart"/>
      <w:r w:rsidR="00956A69" w:rsidRPr="001D11CD">
        <w:rPr>
          <w:i/>
          <w:lang w:val="bg-BG"/>
        </w:rPr>
        <w:t>Andecha</w:t>
      </w:r>
      <w:proofErr w:type="spellEnd"/>
      <w:r w:rsidR="00956A69" w:rsidRPr="001D11CD">
        <w:rPr>
          <w:i/>
          <w:lang w:val="bg-BG"/>
        </w:rPr>
        <w:t xml:space="preserve"> </w:t>
      </w:r>
      <w:proofErr w:type="spellStart"/>
      <w:r w:rsidR="00956A69" w:rsidRPr="001D11CD">
        <w:rPr>
          <w:i/>
          <w:lang w:val="bg-BG"/>
        </w:rPr>
        <w:t>Astur</w:t>
      </w:r>
      <w:proofErr w:type="spellEnd"/>
      <w:r w:rsidR="00956A69" w:rsidRPr="001D11CD">
        <w:rPr>
          <w:i/>
          <w:lang w:val="bg-BG"/>
        </w:rPr>
        <w:t xml:space="preserve"> » c. </w:t>
      </w:r>
      <w:proofErr w:type="spellStart"/>
      <w:r w:rsidR="00956A69" w:rsidRPr="001D11CD">
        <w:rPr>
          <w:i/>
          <w:lang w:val="bg-BG"/>
        </w:rPr>
        <w:t>Espagne</w:t>
      </w:r>
      <w:proofErr w:type="spellEnd"/>
      <w:r w:rsidR="00956A69" w:rsidRPr="001D11CD">
        <w:rPr>
          <w:i/>
          <w:lang w:val="bg-BG"/>
        </w:rPr>
        <w:t>)</w:t>
      </w:r>
      <w:r w:rsidR="00BB2DE3" w:rsidRPr="001D11CD">
        <w:rPr>
          <w:lang w:val="bg-BG"/>
        </w:rPr>
        <w:t>, № 34184/96, реш</w:t>
      </w:r>
      <w:r w:rsidR="00956A69" w:rsidRPr="001D11CD">
        <w:rPr>
          <w:lang w:val="bg-BG"/>
        </w:rPr>
        <w:t>ение на Комисията от 7 юли 1997</w:t>
      </w:r>
      <w:r w:rsidR="00BB2DE3" w:rsidRPr="001D11CD">
        <w:rPr>
          <w:lang w:val="bg-BG"/>
        </w:rPr>
        <w:t xml:space="preserve">, и </w:t>
      </w:r>
      <w:proofErr w:type="spellStart"/>
      <w:r w:rsidR="00BB2DE3" w:rsidRPr="001D11CD">
        <w:rPr>
          <w:i/>
          <w:lang w:val="bg-BG"/>
        </w:rPr>
        <w:t>Шукран</w:t>
      </w:r>
      <w:proofErr w:type="spellEnd"/>
      <w:r w:rsidR="00BB2DE3" w:rsidRPr="001D11CD">
        <w:rPr>
          <w:i/>
          <w:lang w:val="bg-BG"/>
        </w:rPr>
        <w:t xml:space="preserve"> Айдън и други, </w:t>
      </w:r>
      <w:r w:rsidR="00BB2DE3" w:rsidRPr="001D11CD">
        <w:rPr>
          <w:lang w:val="bg-BG"/>
        </w:rPr>
        <w:t xml:space="preserve">горецитирано, § 50). </w:t>
      </w:r>
      <w:r w:rsidR="00956A69" w:rsidRPr="001D11CD">
        <w:rPr>
          <w:lang w:val="bg-BG"/>
        </w:rPr>
        <w:t>Наред с</w:t>
      </w:r>
      <w:r w:rsidR="00BB2DE3" w:rsidRPr="001D11CD">
        <w:rPr>
          <w:lang w:val="bg-BG"/>
        </w:rPr>
        <w:t xml:space="preserve"> това Съдът припомня, че въпроси като избора на работен език </w:t>
      </w:r>
      <w:r w:rsidR="00956A69" w:rsidRPr="001D11CD">
        <w:rPr>
          <w:lang w:val="bg-BG"/>
        </w:rPr>
        <w:t>в</w:t>
      </w:r>
      <w:r w:rsidR="00BB2DE3" w:rsidRPr="001D11CD">
        <w:rPr>
          <w:lang w:val="bg-BG"/>
        </w:rPr>
        <w:t xml:space="preserve"> парламента</w:t>
      </w:r>
      <w:r w:rsidR="0095633A" w:rsidRPr="001D11CD">
        <w:rPr>
          <w:lang w:val="bg-BG"/>
        </w:rPr>
        <w:t>рно събрание</w:t>
      </w:r>
      <w:r w:rsidR="00BB2DE3" w:rsidRPr="001D11CD">
        <w:rPr>
          <w:lang w:val="bg-BG"/>
        </w:rPr>
        <w:t xml:space="preserve"> не попадат в </w:t>
      </w:r>
      <w:r w:rsidR="00956A69" w:rsidRPr="001D11CD">
        <w:rPr>
          <w:lang w:val="bg-BG"/>
        </w:rPr>
        <w:t xml:space="preserve">обхвата на </w:t>
      </w:r>
      <w:r w:rsidR="00BB2DE3" w:rsidRPr="001D11CD">
        <w:rPr>
          <w:lang w:val="bg-BG"/>
        </w:rPr>
        <w:t>член</w:t>
      </w:r>
      <w:r w:rsidR="00634522" w:rsidRPr="001D11CD">
        <w:rPr>
          <w:lang w:val="bg-BG"/>
        </w:rPr>
        <w:t> </w:t>
      </w:r>
      <w:r w:rsidR="00BB2DE3" w:rsidRPr="001D11CD">
        <w:rPr>
          <w:lang w:val="bg-BG"/>
        </w:rPr>
        <w:t>10 (</w:t>
      </w:r>
      <w:r w:rsidR="00956A69" w:rsidRPr="001D11CD">
        <w:rPr>
          <w:lang w:val="bg-BG"/>
        </w:rPr>
        <w:t>вж</w:t>
      </w:r>
      <w:r w:rsidR="00634522" w:rsidRPr="001D11CD">
        <w:rPr>
          <w:lang w:val="bg-BG"/>
        </w:rPr>
        <w:t>.</w:t>
      </w:r>
      <w:r w:rsidR="00956A69" w:rsidRPr="001D11CD">
        <w:rPr>
          <w:lang w:val="bg-BG"/>
        </w:rPr>
        <w:t xml:space="preserve"> </w:t>
      </w:r>
      <w:r w:rsidR="00BB2DE3" w:rsidRPr="001D11CD">
        <w:rPr>
          <w:lang w:val="bg-BG"/>
        </w:rPr>
        <w:t xml:space="preserve">например </w:t>
      </w:r>
      <w:proofErr w:type="spellStart"/>
      <w:r w:rsidR="001E2A19" w:rsidRPr="001D11CD">
        <w:rPr>
          <w:i/>
          <w:lang w:val="bg-BG"/>
        </w:rPr>
        <w:t>Бирк</w:t>
      </w:r>
      <w:proofErr w:type="spellEnd"/>
      <w:r w:rsidR="001E2A19" w:rsidRPr="001D11CD">
        <w:rPr>
          <w:i/>
          <w:lang w:val="bg-BG"/>
        </w:rPr>
        <w:t>-Леви срещу Франция (</w:t>
      </w:r>
      <w:proofErr w:type="spellStart"/>
      <w:r w:rsidR="00BB2DE3" w:rsidRPr="001D11CD">
        <w:rPr>
          <w:i/>
          <w:lang w:val="bg-BG"/>
        </w:rPr>
        <w:t>Birk-Levy</w:t>
      </w:r>
      <w:proofErr w:type="spellEnd"/>
      <w:r w:rsidR="00BB2DE3" w:rsidRPr="001D11CD">
        <w:rPr>
          <w:i/>
          <w:lang w:val="bg-BG"/>
        </w:rPr>
        <w:t xml:space="preserve"> v. </w:t>
      </w:r>
      <w:proofErr w:type="spellStart"/>
      <w:r w:rsidR="00BB2DE3" w:rsidRPr="001D11CD">
        <w:rPr>
          <w:i/>
          <w:lang w:val="bg-BG"/>
        </w:rPr>
        <w:t>France</w:t>
      </w:r>
      <w:proofErr w:type="spellEnd"/>
      <w:r w:rsidR="001E2A19" w:rsidRPr="001D11CD">
        <w:rPr>
          <w:lang w:val="bg-BG"/>
        </w:rPr>
        <w:t>)</w:t>
      </w:r>
      <w:r w:rsidR="00BB2DE3" w:rsidRPr="001D11CD">
        <w:rPr>
          <w:lang w:val="bg-BG"/>
        </w:rPr>
        <w:t xml:space="preserve"> (реш</w:t>
      </w:r>
      <w:r w:rsidR="001E2A19" w:rsidRPr="001D11CD">
        <w:rPr>
          <w:lang w:val="bg-BG"/>
        </w:rPr>
        <w:t>ение по допустимостта</w:t>
      </w:r>
      <w:r w:rsidR="00BB2DE3" w:rsidRPr="001D11CD">
        <w:rPr>
          <w:lang w:val="bg-BG"/>
        </w:rPr>
        <w:t>), № 39426/06, 21 септември 2010</w:t>
      </w:r>
      <w:r w:rsidR="00634522" w:rsidRPr="001D11CD">
        <w:rPr>
          <w:lang w:val="bg-BG"/>
        </w:rPr>
        <w:t> г.</w:t>
      </w:r>
      <w:r w:rsidR="00BB2DE3" w:rsidRPr="001D11CD">
        <w:rPr>
          <w:lang w:val="bg-BG"/>
        </w:rPr>
        <w:t xml:space="preserve">, и </w:t>
      </w:r>
      <w:proofErr w:type="spellStart"/>
      <w:r w:rsidR="00BB2DE3" w:rsidRPr="001D11CD">
        <w:rPr>
          <w:i/>
          <w:lang w:val="bg-BG"/>
        </w:rPr>
        <w:t>Шукран</w:t>
      </w:r>
      <w:proofErr w:type="spellEnd"/>
      <w:r w:rsidR="00BB2DE3" w:rsidRPr="001D11CD">
        <w:rPr>
          <w:i/>
          <w:lang w:val="bg-BG"/>
        </w:rPr>
        <w:t xml:space="preserve"> Айдън и други,</w:t>
      </w:r>
      <w:r w:rsidR="00BB2DE3" w:rsidRPr="001D11CD">
        <w:rPr>
          <w:lang w:val="bg-BG"/>
        </w:rPr>
        <w:t xml:space="preserve"> горецитирано, § 50).</w:t>
      </w:r>
    </w:p>
    <w:bookmarkStart w:id="20" w:name="Para58new"/>
    <w:p w14:paraId="16C68271" w14:textId="26E1AF88" w:rsidR="001E2A19"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57</w:t>
      </w:r>
      <w:r w:rsidRPr="001D11CD">
        <w:rPr>
          <w:lang w:val="bg-BG"/>
        </w:rPr>
        <w:fldChar w:fldCharType="end"/>
      </w:r>
      <w:bookmarkEnd w:id="20"/>
      <w:r w:rsidRPr="001D11CD">
        <w:rPr>
          <w:lang w:val="bg-BG"/>
        </w:rPr>
        <w:t>.  </w:t>
      </w:r>
      <w:r w:rsidR="001E2A19" w:rsidRPr="001D11CD">
        <w:rPr>
          <w:lang w:val="bg-BG"/>
        </w:rPr>
        <w:t xml:space="preserve">Връщайки се към обстоятелствата по делото, Съдът отбелязва, че делото не се отнася до използването на неофициален език в рамките на комуникация с публичните органи или </w:t>
      </w:r>
      <w:r w:rsidR="0095633A" w:rsidRPr="001D11CD">
        <w:rPr>
          <w:lang w:val="bg-BG"/>
        </w:rPr>
        <w:t xml:space="preserve">на </w:t>
      </w:r>
      <w:r w:rsidR="001E2A19" w:rsidRPr="001D11CD">
        <w:rPr>
          <w:lang w:val="bg-BG"/>
        </w:rPr>
        <w:t xml:space="preserve">отношения с официални институции, а по-скоро </w:t>
      </w:r>
      <w:r w:rsidR="00E977E4" w:rsidRPr="001D11CD">
        <w:rPr>
          <w:lang w:val="bg-BG"/>
        </w:rPr>
        <w:t>—</w:t>
      </w:r>
      <w:r w:rsidR="001E2A19" w:rsidRPr="001D11CD">
        <w:rPr>
          <w:lang w:val="bg-BG"/>
        </w:rPr>
        <w:t xml:space="preserve"> както и в делото </w:t>
      </w:r>
      <w:proofErr w:type="spellStart"/>
      <w:r w:rsidR="001E2A19" w:rsidRPr="001D11CD">
        <w:rPr>
          <w:i/>
          <w:lang w:val="bg-BG"/>
        </w:rPr>
        <w:t>Шукран</w:t>
      </w:r>
      <w:proofErr w:type="spellEnd"/>
      <w:r w:rsidR="001E2A19" w:rsidRPr="001D11CD">
        <w:rPr>
          <w:i/>
          <w:lang w:val="bg-BG"/>
        </w:rPr>
        <w:t xml:space="preserve"> Айдън и други, </w:t>
      </w:r>
      <w:r w:rsidR="00E977E4" w:rsidRPr="001D11CD">
        <w:rPr>
          <w:lang w:val="bg-BG"/>
        </w:rPr>
        <w:t>горецитирано —</w:t>
      </w:r>
      <w:r w:rsidR="001E2A19" w:rsidRPr="001D11CD">
        <w:rPr>
          <w:lang w:val="bg-BG"/>
        </w:rPr>
        <w:t xml:space="preserve"> до езиково ограничение, наложено на лицата в отношенията им с останалите, дори и ако въпросните отношения са протекли на публична среща, организирана по време на предизборна кампания. В тази връзка Съдът припомня, че член 10 включва свободата да получаваш и да </w:t>
      </w:r>
      <w:r w:rsidR="0095633A" w:rsidRPr="001D11CD">
        <w:rPr>
          <w:lang w:val="bg-BG"/>
        </w:rPr>
        <w:t>разпространяваш</w:t>
      </w:r>
      <w:r w:rsidR="001E2A19" w:rsidRPr="001D11CD">
        <w:rPr>
          <w:lang w:val="bg-BG"/>
        </w:rPr>
        <w:t xml:space="preserve"> информация или идеи на всеки език, който позволява участие в публичния обмен на културна, политическа и социална информация и идеи от всякакъв вид (</w:t>
      </w:r>
      <w:proofErr w:type="spellStart"/>
      <w:r w:rsidR="001E2A19" w:rsidRPr="001D11CD">
        <w:rPr>
          <w:i/>
          <w:lang w:val="bg-BG"/>
        </w:rPr>
        <w:t>Егитум</w:t>
      </w:r>
      <w:proofErr w:type="spellEnd"/>
      <w:r w:rsidR="001E2A19" w:rsidRPr="001D11CD">
        <w:rPr>
          <w:i/>
          <w:lang w:val="bg-BG"/>
        </w:rPr>
        <w:t xml:space="preserve"> </w:t>
      </w:r>
      <w:proofErr w:type="spellStart"/>
      <w:r w:rsidR="001E2A19" w:rsidRPr="001D11CD">
        <w:rPr>
          <w:i/>
          <w:lang w:val="bg-BG"/>
        </w:rPr>
        <w:t>ве</w:t>
      </w:r>
      <w:proofErr w:type="spellEnd"/>
      <w:r w:rsidR="001E2A19" w:rsidRPr="001D11CD">
        <w:rPr>
          <w:i/>
          <w:lang w:val="bg-BG"/>
        </w:rPr>
        <w:t xml:space="preserve"> </w:t>
      </w:r>
      <w:proofErr w:type="spellStart"/>
      <w:r w:rsidR="001E2A19" w:rsidRPr="001D11CD">
        <w:rPr>
          <w:i/>
          <w:lang w:val="bg-BG"/>
        </w:rPr>
        <w:t>Билим</w:t>
      </w:r>
      <w:proofErr w:type="spellEnd"/>
      <w:r w:rsidR="001E2A19" w:rsidRPr="001D11CD">
        <w:rPr>
          <w:i/>
          <w:lang w:val="bg-BG"/>
        </w:rPr>
        <w:t xml:space="preserve"> </w:t>
      </w:r>
      <w:proofErr w:type="spellStart"/>
      <w:r w:rsidR="001E2A19" w:rsidRPr="001D11CD">
        <w:rPr>
          <w:i/>
          <w:lang w:val="bg-BG"/>
        </w:rPr>
        <w:t>Емекчилери</w:t>
      </w:r>
      <w:proofErr w:type="spellEnd"/>
      <w:r w:rsidR="001E2A19" w:rsidRPr="001D11CD">
        <w:rPr>
          <w:i/>
          <w:lang w:val="bg-BG"/>
        </w:rPr>
        <w:t xml:space="preserve"> </w:t>
      </w:r>
      <w:proofErr w:type="spellStart"/>
      <w:r w:rsidR="001E2A19" w:rsidRPr="001D11CD">
        <w:rPr>
          <w:i/>
          <w:lang w:val="bg-BG"/>
        </w:rPr>
        <w:t>сендикасъ</w:t>
      </w:r>
      <w:proofErr w:type="spellEnd"/>
      <w:r w:rsidR="001E2A19" w:rsidRPr="001D11CD">
        <w:rPr>
          <w:i/>
          <w:lang w:val="bg-BG"/>
        </w:rPr>
        <w:t xml:space="preserve"> срещу Турция (</w:t>
      </w:r>
      <w:proofErr w:type="spellStart"/>
      <w:r w:rsidR="001E2A19" w:rsidRPr="001D11CD">
        <w:rPr>
          <w:i/>
          <w:lang w:val="bg-BG"/>
        </w:rPr>
        <w:t>Eğitim</w:t>
      </w:r>
      <w:proofErr w:type="spellEnd"/>
      <w:r w:rsidR="001E2A19" w:rsidRPr="001D11CD">
        <w:rPr>
          <w:i/>
          <w:lang w:val="bg-BG"/>
        </w:rPr>
        <w:t xml:space="preserve"> </w:t>
      </w:r>
      <w:proofErr w:type="spellStart"/>
      <w:r w:rsidR="001E2A19" w:rsidRPr="001D11CD">
        <w:rPr>
          <w:i/>
          <w:lang w:val="bg-BG"/>
        </w:rPr>
        <w:t>ve</w:t>
      </w:r>
      <w:proofErr w:type="spellEnd"/>
      <w:r w:rsidR="001E2A19" w:rsidRPr="001D11CD">
        <w:rPr>
          <w:i/>
          <w:lang w:val="bg-BG"/>
        </w:rPr>
        <w:t xml:space="preserve"> </w:t>
      </w:r>
      <w:proofErr w:type="spellStart"/>
      <w:r w:rsidR="001E2A19" w:rsidRPr="001D11CD">
        <w:rPr>
          <w:i/>
          <w:lang w:val="bg-BG"/>
        </w:rPr>
        <w:t>Bilim</w:t>
      </w:r>
      <w:proofErr w:type="spellEnd"/>
      <w:r w:rsidR="001E2A19" w:rsidRPr="001D11CD">
        <w:rPr>
          <w:i/>
          <w:lang w:val="bg-BG"/>
        </w:rPr>
        <w:t xml:space="preserve"> </w:t>
      </w:r>
      <w:proofErr w:type="spellStart"/>
      <w:r w:rsidR="001E2A19" w:rsidRPr="001D11CD">
        <w:rPr>
          <w:i/>
          <w:lang w:val="bg-BG"/>
        </w:rPr>
        <w:t>Emekçileri</w:t>
      </w:r>
      <w:proofErr w:type="spellEnd"/>
      <w:r w:rsidR="001E2A19" w:rsidRPr="001D11CD">
        <w:rPr>
          <w:i/>
          <w:lang w:val="bg-BG"/>
        </w:rPr>
        <w:t xml:space="preserve"> </w:t>
      </w:r>
      <w:proofErr w:type="spellStart"/>
      <w:r w:rsidR="001E2A19" w:rsidRPr="001D11CD">
        <w:rPr>
          <w:i/>
          <w:lang w:val="bg-BG"/>
        </w:rPr>
        <w:t>sendikası</w:t>
      </w:r>
      <w:proofErr w:type="spellEnd"/>
      <w:r w:rsidR="001E2A19" w:rsidRPr="001D11CD">
        <w:rPr>
          <w:i/>
          <w:lang w:val="bg-BG"/>
        </w:rPr>
        <w:t xml:space="preserve"> c. </w:t>
      </w:r>
      <w:proofErr w:type="spellStart"/>
      <w:r w:rsidR="001E2A19" w:rsidRPr="001D11CD">
        <w:rPr>
          <w:i/>
          <w:lang w:val="bg-BG"/>
        </w:rPr>
        <w:t>Turquie</w:t>
      </w:r>
      <w:proofErr w:type="spellEnd"/>
      <w:r w:rsidR="001E2A19" w:rsidRPr="001D11CD">
        <w:rPr>
          <w:i/>
          <w:lang w:val="bg-BG"/>
        </w:rPr>
        <w:t>)</w:t>
      </w:r>
      <w:r w:rsidR="001E2A19" w:rsidRPr="001D11CD">
        <w:rPr>
          <w:lang w:val="bg-BG"/>
        </w:rPr>
        <w:t>, № 20641/05, § 71, 25 септември 2012</w:t>
      </w:r>
      <w:r w:rsidR="00E977E4" w:rsidRPr="001D11CD">
        <w:rPr>
          <w:lang w:val="bg-BG"/>
        </w:rPr>
        <w:t> г.</w:t>
      </w:r>
      <w:r w:rsidR="001E2A19" w:rsidRPr="001D11CD">
        <w:rPr>
          <w:lang w:val="bg-BG"/>
        </w:rPr>
        <w:t>); в такъв контекст езикът като средство за изразяване безспорно заслужава защитата на член 10 (</w:t>
      </w:r>
      <w:proofErr w:type="spellStart"/>
      <w:r w:rsidR="001E2A19" w:rsidRPr="001D11CD">
        <w:rPr>
          <w:i/>
          <w:lang w:val="bg-BG"/>
        </w:rPr>
        <w:t>Шукран</w:t>
      </w:r>
      <w:proofErr w:type="spellEnd"/>
      <w:r w:rsidR="001E2A19" w:rsidRPr="001D11CD">
        <w:rPr>
          <w:i/>
          <w:lang w:val="bg-BG"/>
        </w:rPr>
        <w:t xml:space="preserve"> Айдън и други,</w:t>
      </w:r>
      <w:r w:rsidR="001E2A19" w:rsidRPr="001D11CD">
        <w:rPr>
          <w:lang w:val="bg-BG"/>
        </w:rPr>
        <w:t xml:space="preserve"> горецитирано, § 52 </w:t>
      </w:r>
      <w:proofErr w:type="spellStart"/>
      <w:r w:rsidR="001E2A19" w:rsidRPr="001D11CD">
        <w:rPr>
          <w:i/>
          <w:lang w:val="bg-BG"/>
        </w:rPr>
        <w:t>in</w:t>
      </w:r>
      <w:proofErr w:type="spellEnd"/>
      <w:r w:rsidR="001E2A19" w:rsidRPr="001D11CD">
        <w:rPr>
          <w:i/>
          <w:lang w:val="bg-BG"/>
        </w:rPr>
        <w:t xml:space="preserve"> </w:t>
      </w:r>
      <w:proofErr w:type="spellStart"/>
      <w:r w:rsidR="001E2A19" w:rsidRPr="001D11CD">
        <w:rPr>
          <w:i/>
          <w:lang w:val="bg-BG"/>
        </w:rPr>
        <w:t>fine</w:t>
      </w:r>
      <w:proofErr w:type="spellEnd"/>
      <w:r w:rsidR="001E2A19" w:rsidRPr="001D11CD">
        <w:rPr>
          <w:lang w:val="bg-BG"/>
        </w:rPr>
        <w:t>).</w:t>
      </w:r>
    </w:p>
    <w:p w14:paraId="5F95F181" w14:textId="2AB87AF9" w:rsidR="000B760F"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58</w:t>
      </w:r>
      <w:r w:rsidRPr="001D11CD">
        <w:rPr>
          <w:lang w:val="bg-BG"/>
        </w:rPr>
        <w:fldChar w:fldCharType="end"/>
      </w:r>
      <w:r w:rsidR="000B760F" w:rsidRPr="001D11CD">
        <w:rPr>
          <w:lang w:val="bg-BG"/>
        </w:rPr>
        <w:t>.  </w:t>
      </w:r>
      <w:r w:rsidR="001E2A19" w:rsidRPr="001D11CD">
        <w:rPr>
          <w:lang w:val="bg-BG"/>
        </w:rPr>
        <w:t xml:space="preserve">По </w:t>
      </w:r>
      <w:r w:rsidR="00A34257" w:rsidRPr="001D11CD">
        <w:rPr>
          <w:lang w:val="bg-BG"/>
        </w:rPr>
        <w:t xml:space="preserve">конкретното </w:t>
      </w:r>
      <w:r w:rsidR="001E2A19" w:rsidRPr="001D11CD">
        <w:rPr>
          <w:lang w:val="bg-BG"/>
        </w:rPr>
        <w:t xml:space="preserve">дело Съдът счита, че </w:t>
      </w:r>
      <w:r w:rsidR="00A34257" w:rsidRPr="001D11CD">
        <w:rPr>
          <w:lang w:val="bg-BG"/>
        </w:rPr>
        <w:t xml:space="preserve">въпросът, който </w:t>
      </w:r>
      <w:r w:rsidR="001E2A19" w:rsidRPr="001D11CD">
        <w:rPr>
          <w:lang w:val="bg-BG"/>
        </w:rPr>
        <w:t>трябва да разгледа</w:t>
      </w:r>
      <w:r w:rsidR="00A34257" w:rsidRPr="001D11CD">
        <w:rPr>
          <w:lang w:val="bg-BG"/>
        </w:rPr>
        <w:t>,</w:t>
      </w:r>
      <w:r w:rsidR="001E2A19" w:rsidRPr="001D11CD">
        <w:rPr>
          <w:lang w:val="bg-BG"/>
        </w:rPr>
        <w:t xml:space="preserve"> </w:t>
      </w:r>
      <w:r w:rsidR="00A34257" w:rsidRPr="001D11CD">
        <w:rPr>
          <w:lang w:val="bg-BG"/>
        </w:rPr>
        <w:t xml:space="preserve">е </w:t>
      </w:r>
      <w:r w:rsidR="001E2A19" w:rsidRPr="001D11CD">
        <w:rPr>
          <w:lang w:val="bg-BG"/>
        </w:rPr>
        <w:t>не общия</w:t>
      </w:r>
      <w:r w:rsidR="00A34257" w:rsidRPr="001D11CD">
        <w:rPr>
          <w:lang w:val="bg-BG"/>
        </w:rPr>
        <w:t>т</w:t>
      </w:r>
      <w:r w:rsidR="001E2A19" w:rsidRPr="001D11CD">
        <w:rPr>
          <w:lang w:val="bg-BG"/>
        </w:rPr>
        <w:t xml:space="preserve"> въпрос дали дадена държава трябва да разреши използването на език, различен от официалния език или езици по време на предизборна кампания, а по-скоро дали, когато т</w:t>
      </w:r>
      <w:r w:rsidR="00A34257" w:rsidRPr="001D11CD">
        <w:rPr>
          <w:lang w:val="bg-BG"/>
        </w:rPr>
        <w:t xml:space="preserve">ова използване </w:t>
      </w:r>
      <w:r w:rsidR="001E2A19" w:rsidRPr="001D11CD">
        <w:rPr>
          <w:lang w:val="bg-BG"/>
        </w:rPr>
        <w:t>е предмет на ограничение, обхватът и начинът на прилагане на ограничение</w:t>
      </w:r>
      <w:r w:rsidR="00656955" w:rsidRPr="001D11CD">
        <w:rPr>
          <w:lang w:val="bg-BG"/>
        </w:rPr>
        <w:t>то</w:t>
      </w:r>
      <w:r w:rsidR="001E2A19" w:rsidRPr="001D11CD">
        <w:rPr>
          <w:lang w:val="bg-BG"/>
        </w:rPr>
        <w:t xml:space="preserve"> са съвместими с </w:t>
      </w:r>
      <w:r w:rsidR="00174D23">
        <w:rPr>
          <w:lang w:val="bg-BG"/>
        </w:rPr>
        <w:t>правилата</w:t>
      </w:r>
      <w:r w:rsidR="001E2A19" w:rsidRPr="001D11CD">
        <w:rPr>
          <w:lang w:val="bg-BG"/>
        </w:rPr>
        <w:t>, произтичащи от член</w:t>
      </w:r>
      <w:r w:rsidR="00E977E4" w:rsidRPr="001D11CD">
        <w:rPr>
          <w:lang w:val="bg-BG"/>
        </w:rPr>
        <w:t> </w:t>
      </w:r>
      <w:r w:rsidR="001E2A19" w:rsidRPr="001D11CD">
        <w:rPr>
          <w:lang w:val="bg-BG"/>
        </w:rPr>
        <w:t>10 (</w:t>
      </w:r>
      <w:proofErr w:type="spellStart"/>
      <w:r w:rsidR="001E2A19" w:rsidRPr="001D11CD">
        <w:rPr>
          <w:i/>
          <w:lang w:val="bg-BG"/>
        </w:rPr>
        <w:t>Шукран</w:t>
      </w:r>
      <w:proofErr w:type="spellEnd"/>
      <w:r w:rsidR="001E2A19" w:rsidRPr="001D11CD">
        <w:rPr>
          <w:i/>
          <w:lang w:val="bg-BG"/>
        </w:rPr>
        <w:t xml:space="preserve"> Айдън и други</w:t>
      </w:r>
      <w:r w:rsidR="001E2A19" w:rsidRPr="001D11CD">
        <w:rPr>
          <w:lang w:val="bg-BG"/>
        </w:rPr>
        <w:t xml:space="preserve">, горецитирано, § 53). По този въпрос </w:t>
      </w:r>
      <w:r w:rsidR="00D24EC8">
        <w:rPr>
          <w:lang w:val="bg-BG"/>
        </w:rPr>
        <w:t>С</w:t>
      </w:r>
      <w:r w:rsidR="00D24EC8" w:rsidRPr="001D11CD">
        <w:rPr>
          <w:lang w:val="bg-BG"/>
        </w:rPr>
        <w:t xml:space="preserve">ъдът </w:t>
      </w:r>
      <w:r w:rsidR="001E2A19" w:rsidRPr="001D11CD">
        <w:rPr>
          <w:lang w:val="bg-BG"/>
        </w:rPr>
        <w:t xml:space="preserve">отбелязва, че член 133 от </w:t>
      </w:r>
      <w:r w:rsidR="00A34257" w:rsidRPr="001D11CD">
        <w:rPr>
          <w:lang w:val="bg-BG"/>
        </w:rPr>
        <w:t>И</w:t>
      </w:r>
      <w:r w:rsidR="001E2A19" w:rsidRPr="001D11CD">
        <w:rPr>
          <w:lang w:val="bg-BG"/>
        </w:rPr>
        <w:t>зборния кодекс от 2011 г</w:t>
      </w:r>
      <w:r w:rsidR="00A34257" w:rsidRPr="001D11CD">
        <w:rPr>
          <w:lang w:val="bg-BG"/>
        </w:rPr>
        <w:t>одина</w:t>
      </w:r>
      <w:r w:rsidR="00E977E4" w:rsidRPr="001D11CD">
        <w:rPr>
          <w:lang w:val="bg-BG"/>
        </w:rPr>
        <w:t> —</w:t>
      </w:r>
      <w:r w:rsidR="001E2A19" w:rsidRPr="001D11CD">
        <w:rPr>
          <w:lang w:val="bg-BG"/>
        </w:rPr>
        <w:t xml:space="preserve"> </w:t>
      </w:r>
      <w:r w:rsidR="00A34257" w:rsidRPr="001D11CD">
        <w:rPr>
          <w:lang w:val="bg-BG"/>
        </w:rPr>
        <w:t>р</w:t>
      </w:r>
      <w:r w:rsidR="001E2A19" w:rsidRPr="001D11CD">
        <w:rPr>
          <w:lang w:val="bg-BG"/>
        </w:rPr>
        <w:t>азпоредба</w:t>
      </w:r>
      <w:r w:rsidR="00A34257" w:rsidRPr="001D11CD">
        <w:rPr>
          <w:lang w:val="bg-BG"/>
        </w:rPr>
        <w:t>та фигурира и</w:t>
      </w:r>
      <w:r w:rsidR="001E2A19" w:rsidRPr="001D11CD">
        <w:rPr>
          <w:lang w:val="bg-BG"/>
        </w:rPr>
        <w:t xml:space="preserve"> в следващите </w:t>
      </w:r>
      <w:r w:rsidR="00A34257" w:rsidRPr="001D11CD">
        <w:rPr>
          <w:lang w:val="bg-BG"/>
        </w:rPr>
        <w:t>редакции</w:t>
      </w:r>
      <w:r w:rsidR="001E2A19" w:rsidRPr="001D11CD">
        <w:rPr>
          <w:lang w:val="bg-BG"/>
        </w:rPr>
        <w:t xml:space="preserve"> на споменатия кодекс</w:t>
      </w:r>
      <w:r w:rsidR="00E977E4" w:rsidRPr="001D11CD">
        <w:rPr>
          <w:lang w:val="bg-BG"/>
        </w:rPr>
        <w:t> —</w:t>
      </w:r>
      <w:r w:rsidR="001E2A19" w:rsidRPr="001D11CD">
        <w:rPr>
          <w:lang w:val="bg-BG"/>
        </w:rPr>
        <w:t xml:space="preserve"> забранява</w:t>
      </w:r>
      <w:r w:rsidR="00A34257" w:rsidRPr="001D11CD">
        <w:rPr>
          <w:lang w:val="bg-BG"/>
        </w:rPr>
        <w:t xml:space="preserve"> абсолютно </w:t>
      </w:r>
      <w:r w:rsidR="001E2A19" w:rsidRPr="001D11CD">
        <w:rPr>
          <w:lang w:val="bg-BG"/>
        </w:rPr>
        <w:t xml:space="preserve">използването на </w:t>
      </w:r>
      <w:r w:rsidR="00A34257" w:rsidRPr="001D11CD">
        <w:rPr>
          <w:lang w:val="bg-BG"/>
        </w:rPr>
        <w:t>всеки друг</w:t>
      </w:r>
      <w:r w:rsidR="001E2A19" w:rsidRPr="001D11CD">
        <w:rPr>
          <w:lang w:val="bg-BG"/>
        </w:rPr>
        <w:t xml:space="preserve"> ези</w:t>
      </w:r>
      <w:r w:rsidR="00A34257" w:rsidRPr="001D11CD">
        <w:rPr>
          <w:lang w:val="bg-BG"/>
        </w:rPr>
        <w:t>к</w:t>
      </w:r>
      <w:r w:rsidR="001E2A19" w:rsidRPr="001D11CD">
        <w:rPr>
          <w:lang w:val="bg-BG"/>
        </w:rPr>
        <w:t>, различ</w:t>
      </w:r>
      <w:r w:rsidR="00A34257" w:rsidRPr="001D11CD">
        <w:rPr>
          <w:lang w:val="bg-BG"/>
        </w:rPr>
        <w:t>е</w:t>
      </w:r>
      <w:r w:rsidR="001E2A19" w:rsidRPr="001D11CD">
        <w:rPr>
          <w:lang w:val="bg-BG"/>
        </w:rPr>
        <w:t xml:space="preserve">н от официалния, </w:t>
      </w:r>
      <w:r w:rsidR="00A34257" w:rsidRPr="001D11CD">
        <w:rPr>
          <w:lang w:val="bg-BG"/>
        </w:rPr>
        <w:t xml:space="preserve">т.е. от </w:t>
      </w:r>
      <w:r w:rsidR="001E2A19" w:rsidRPr="001D11CD">
        <w:rPr>
          <w:lang w:val="bg-BG"/>
        </w:rPr>
        <w:t>български</w:t>
      </w:r>
      <w:r w:rsidR="00A34257" w:rsidRPr="001D11CD">
        <w:rPr>
          <w:lang w:val="bg-BG"/>
        </w:rPr>
        <w:t>я, по време на предизборна кампания</w:t>
      </w:r>
      <w:r w:rsidR="001E2A19" w:rsidRPr="001D11CD">
        <w:rPr>
          <w:lang w:val="bg-BG"/>
        </w:rPr>
        <w:t xml:space="preserve"> и че нарушенията </w:t>
      </w:r>
      <w:r w:rsidR="00A34257" w:rsidRPr="001D11CD">
        <w:rPr>
          <w:lang w:val="bg-BG"/>
        </w:rPr>
        <w:t>на</w:t>
      </w:r>
      <w:r w:rsidR="001E2A19" w:rsidRPr="001D11CD">
        <w:rPr>
          <w:lang w:val="bg-BG"/>
        </w:rPr>
        <w:t xml:space="preserve"> тази разпоредба </w:t>
      </w:r>
      <w:r w:rsidR="00A34257" w:rsidRPr="001D11CD">
        <w:rPr>
          <w:lang w:val="bg-BG"/>
        </w:rPr>
        <w:t xml:space="preserve">водят по силата на член </w:t>
      </w:r>
      <w:r w:rsidR="001E2A19" w:rsidRPr="001D11CD">
        <w:rPr>
          <w:lang w:val="bg-BG"/>
        </w:rPr>
        <w:t xml:space="preserve">299 от същия кодекс </w:t>
      </w:r>
      <w:r w:rsidR="00A34257" w:rsidRPr="001D11CD">
        <w:rPr>
          <w:lang w:val="bg-BG"/>
        </w:rPr>
        <w:t xml:space="preserve">до </w:t>
      </w:r>
      <w:r w:rsidR="001E2A19" w:rsidRPr="001D11CD">
        <w:rPr>
          <w:lang w:val="bg-BG"/>
        </w:rPr>
        <w:t xml:space="preserve">административни санкции под формата на глоби в размер </w:t>
      </w:r>
      <w:r w:rsidR="00A34257" w:rsidRPr="001D11CD">
        <w:rPr>
          <w:lang w:val="bg-BG"/>
        </w:rPr>
        <w:t xml:space="preserve">от </w:t>
      </w:r>
      <w:r w:rsidR="001E2A19" w:rsidRPr="001D11CD">
        <w:rPr>
          <w:lang w:val="bg-BG"/>
        </w:rPr>
        <w:t xml:space="preserve">200 </w:t>
      </w:r>
      <w:r w:rsidR="00A34257" w:rsidRPr="001D11CD">
        <w:rPr>
          <w:lang w:val="bg-BG"/>
        </w:rPr>
        <w:t>до</w:t>
      </w:r>
      <w:r w:rsidR="001E2A19" w:rsidRPr="001D11CD">
        <w:rPr>
          <w:lang w:val="bg-BG"/>
        </w:rPr>
        <w:t xml:space="preserve"> 2000 </w:t>
      </w:r>
      <w:r w:rsidR="0066341A" w:rsidRPr="001D11CD">
        <w:rPr>
          <w:lang w:val="bg-BG"/>
        </w:rPr>
        <w:t>лева</w:t>
      </w:r>
      <w:r w:rsidR="001E2A19" w:rsidRPr="001D11CD">
        <w:rPr>
          <w:lang w:val="bg-BG"/>
        </w:rPr>
        <w:t xml:space="preserve"> (параграфи 5 и 14 по-горе), както се вижда от настоящ</w:t>
      </w:r>
      <w:r w:rsidR="00A34257" w:rsidRPr="001D11CD">
        <w:rPr>
          <w:lang w:val="bg-BG"/>
        </w:rPr>
        <w:t>ото дело</w:t>
      </w:r>
      <w:r w:rsidR="000B760F" w:rsidRPr="001D11CD">
        <w:rPr>
          <w:bCs/>
          <w:lang w:val="bg-BG"/>
        </w:rPr>
        <w:t>.</w:t>
      </w:r>
    </w:p>
    <w:p w14:paraId="05F844F9" w14:textId="22CD5C62" w:rsidR="000A167E"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59</w:t>
      </w:r>
      <w:r w:rsidRPr="001D11CD">
        <w:rPr>
          <w:lang w:val="bg-BG"/>
        </w:rPr>
        <w:fldChar w:fldCharType="end"/>
      </w:r>
      <w:r w:rsidRPr="001D11CD">
        <w:rPr>
          <w:lang w:val="bg-BG"/>
        </w:rPr>
        <w:t>.  </w:t>
      </w:r>
      <w:r w:rsidR="000A167E" w:rsidRPr="001D11CD">
        <w:rPr>
          <w:lang w:val="bg-BG"/>
        </w:rPr>
        <w:t>Съдът отбелязва, че</w:t>
      </w:r>
      <w:r w:rsidR="00E075A7">
        <w:rPr>
          <w:lang w:val="bg-BG"/>
        </w:rPr>
        <w:t>,</w:t>
      </w:r>
      <w:r w:rsidR="000A167E" w:rsidRPr="001D11CD">
        <w:rPr>
          <w:lang w:val="bg-BG"/>
        </w:rPr>
        <w:t xml:space="preserve"> противно на твърдяното</w:t>
      </w:r>
      <w:r w:rsidR="00033F06" w:rsidRPr="001D11CD">
        <w:rPr>
          <w:lang w:val="bg-BG"/>
        </w:rPr>
        <w:t xml:space="preserve"> от </w:t>
      </w:r>
      <w:r w:rsidR="001D11CD" w:rsidRPr="001D11CD">
        <w:rPr>
          <w:lang w:val="bg-BG"/>
        </w:rPr>
        <w:t>П</w:t>
      </w:r>
      <w:r w:rsidR="000A167E" w:rsidRPr="001D11CD">
        <w:rPr>
          <w:lang w:val="bg-BG"/>
        </w:rPr>
        <w:t xml:space="preserve">равителството, което </w:t>
      </w:r>
      <w:r w:rsidR="004845A1" w:rsidRPr="001D11CD">
        <w:rPr>
          <w:lang w:val="bg-BG"/>
        </w:rPr>
        <w:t xml:space="preserve">смята за необходимо </w:t>
      </w:r>
      <w:r w:rsidR="000A167E" w:rsidRPr="001D11CD">
        <w:rPr>
          <w:lang w:val="bg-BG"/>
        </w:rPr>
        <w:t>да разграничи настоящ</w:t>
      </w:r>
      <w:r w:rsidR="004845A1" w:rsidRPr="001D11CD">
        <w:rPr>
          <w:lang w:val="bg-BG"/>
        </w:rPr>
        <w:t xml:space="preserve">ото дело </w:t>
      </w:r>
      <w:r w:rsidR="000A167E" w:rsidRPr="001D11CD">
        <w:rPr>
          <w:lang w:val="bg-BG"/>
        </w:rPr>
        <w:t xml:space="preserve">от </w:t>
      </w:r>
      <w:r w:rsidR="004F526F" w:rsidRPr="001D11CD">
        <w:rPr>
          <w:lang w:val="bg-BG"/>
        </w:rPr>
        <w:t>горецитирано</w:t>
      </w:r>
      <w:r w:rsidR="004F526F">
        <w:rPr>
          <w:lang w:val="bg-BG"/>
        </w:rPr>
        <w:t>то</w:t>
      </w:r>
      <w:r w:rsidR="004F526F" w:rsidRPr="001D11CD">
        <w:rPr>
          <w:lang w:val="bg-BG"/>
        </w:rPr>
        <w:t xml:space="preserve"> </w:t>
      </w:r>
      <w:r w:rsidR="000A167E" w:rsidRPr="001D11CD">
        <w:rPr>
          <w:lang w:val="bg-BG"/>
        </w:rPr>
        <w:t xml:space="preserve">дело </w:t>
      </w:r>
      <w:proofErr w:type="spellStart"/>
      <w:r w:rsidR="000A167E" w:rsidRPr="001D11CD">
        <w:rPr>
          <w:i/>
          <w:lang w:val="bg-BG"/>
        </w:rPr>
        <w:t>Шукран</w:t>
      </w:r>
      <w:proofErr w:type="spellEnd"/>
      <w:r w:rsidR="000A167E" w:rsidRPr="001D11CD">
        <w:rPr>
          <w:i/>
          <w:lang w:val="bg-BG"/>
        </w:rPr>
        <w:t xml:space="preserve"> Айдън и други</w:t>
      </w:r>
      <w:r w:rsidR="000A167E" w:rsidRPr="001D11CD">
        <w:rPr>
          <w:lang w:val="bg-BG"/>
        </w:rPr>
        <w:t xml:space="preserve"> (параграф 46 по-горе), абсолютният характер на </w:t>
      </w:r>
      <w:r w:rsidR="004845A1" w:rsidRPr="001D11CD">
        <w:rPr>
          <w:lang w:val="bg-BG"/>
        </w:rPr>
        <w:t>процесната</w:t>
      </w:r>
      <w:r w:rsidR="000A167E" w:rsidRPr="001D11CD">
        <w:rPr>
          <w:lang w:val="bg-BG"/>
        </w:rPr>
        <w:t xml:space="preserve"> забрана </w:t>
      </w:r>
      <w:r w:rsidR="004845A1" w:rsidRPr="001D11CD">
        <w:rPr>
          <w:lang w:val="bg-BG"/>
        </w:rPr>
        <w:t xml:space="preserve">е </w:t>
      </w:r>
      <w:r w:rsidR="000A167E" w:rsidRPr="001D11CD">
        <w:rPr>
          <w:lang w:val="bg-BG"/>
        </w:rPr>
        <w:t>лиш</w:t>
      </w:r>
      <w:r w:rsidR="004845A1" w:rsidRPr="001D11CD">
        <w:rPr>
          <w:lang w:val="bg-BG"/>
        </w:rPr>
        <w:t>ил</w:t>
      </w:r>
      <w:r w:rsidR="000A167E" w:rsidRPr="001D11CD">
        <w:rPr>
          <w:lang w:val="bg-BG"/>
        </w:rPr>
        <w:t xml:space="preserve"> националните съдилища от правомощието им да упражнят адекватен съдебен контрол. Това </w:t>
      </w:r>
      <w:r w:rsidR="004845A1" w:rsidRPr="001D11CD">
        <w:rPr>
          <w:lang w:val="bg-BG"/>
        </w:rPr>
        <w:t xml:space="preserve">се вижда </w:t>
      </w:r>
      <w:r w:rsidR="000A167E" w:rsidRPr="001D11CD">
        <w:rPr>
          <w:lang w:val="bg-BG"/>
        </w:rPr>
        <w:t xml:space="preserve">ясно от факта, че при разглеждането на делото </w:t>
      </w:r>
      <w:r w:rsidR="004845A1" w:rsidRPr="001D11CD">
        <w:rPr>
          <w:lang w:val="bg-BG"/>
        </w:rPr>
        <w:t xml:space="preserve">районният </w:t>
      </w:r>
      <w:r w:rsidR="000A167E" w:rsidRPr="001D11CD">
        <w:rPr>
          <w:lang w:val="bg-BG"/>
        </w:rPr>
        <w:t xml:space="preserve">съд се е ограничил </w:t>
      </w:r>
      <w:r w:rsidR="004845A1" w:rsidRPr="001D11CD">
        <w:rPr>
          <w:lang w:val="bg-BG"/>
        </w:rPr>
        <w:t>да</w:t>
      </w:r>
      <w:r w:rsidR="000A167E" w:rsidRPr="001D11CD">
        <w:rPr>
          <w:lang w:val="bg-BG"/>
        </w:rPr>
        <w:t xml:space="preserve"> провер</w:t>
      </w:r>
      <w:r w:rsidR="00033F06" w:rsidRPr="001D11CD">
        <w:rPr>
          <w:lang w:val="bg-BG"/>
        </w:rPr>
        <w:t>и —</w:t>
      </w:r>
      <w:r w:rsidR="004845A1" w:rsidRPr="001D11CD">
        <w:rPr>
          <w:lang w:val="bg-BG"/>
        </w:rPr>
        <w:t xml:space="preserve"> по-специално на</w:t>
      </w:r>
      <w:r w:rsidR="000A167E" w:rsidRPr="001D11CD">
        <w:rPr>
          <w:lang w:val="bg-BG"/>
        </w:rPr>
        <w:t xml:space="preserve"> </w:t>
      </w:r>
      <w:r w:rsidR="004845A1" w:rsidRPr="001D11CD">
        <w:rPr>
          <w:lang w:val="bg-BG"/>
        </w:rPr>
        <w:t xml:space="preserve">базата на </w:t>
      </w:r>
      <w:r w:rsidR="000A167E" w:rsidRPr="001D11CD">
        <w:rPr>
          <w:lang w:val="bg-BG"/>
        </w:rPr>
        <w:t xml:space="preserve">видеозапис, писмени </w:t>
      </w:r>
      <w:r w:rsidR="00656955" w:rsidRPr="001D11CD">
        <w:rPr>
          <w:lang w:val="bg-BG"/>
        </w:rPr>
        <w:t>документи</w:t>
      </w:r>
      <w:r w:rsidR="000A167E" w:rsidRPr="001D11CD">
        <w:rPr>
          <w:lang w:val="bg-BG"/>
        </w:rPr>
        <w:t xml:space="preserve"> и свидетелски показания</w:t>
      </w:r>
      <w:r w:rsidR="004845A1" w:rsidRPr="001D11CD">
        <w:rPr>
          <w:lang w:val="bg-BG"/>
        </w:rPr>
        <w:t xml:space="preserve"> –</w:t>
      </w:r>
      <w:r w:rsidR="000A167E" w:rsidRPr="001D11CD">
        <w:rPr>
          <w:lang w:val="bg-BG"/>
        </w:rPr>
        <w:t xml:space="preserve"> </w:t>
      </w:r>
      <w:r w:rsidR="004F526F">
        <w:rPr>
          <w:lang w:val="bg-BG"/>
        </w:rPr>
        <w:t xml:space="preserve">единствено </w:t>
      </w:r>
      <w:r w:rsidR="000A167E" w:rsidRPr="001D11CD">
        <w:rPr>
          <w:lang w:val="bg-BG"/>
        </w:rPr>
        <w:t xml:space="preserve">дали по време на въпросната среща жалбоподателят е говорил </w:t>
      </w:r>
      <w:r w:rsidR="004845A1" w:rsidRPr="001D11CD">
        <w:rPr>
          <w:lang w:val="bg-BG"/>
        </w:rPr>
        <w:t>на език, различен от българския</w:t>
      </w:r>
      <w:r w:rsidR="004F526F">
        <w:rPr>
          <w:lang w:val="bg-BG"/>
        </w:rPr>
        <w:t>,</w:t>
      </w:r>
      <w:r w:rsidR="000A167E" w:rsidRPr="001D11CD">
        <w:rPr>
          <w:lang w:val="bg-BG"/>
        </w:rPr>
        <w:t xml:space="preserve"> по време на предизборна кампания (параграф 8 по-горе). В решението си административният съд </w:t>
      </w:r>
      <w:r w:rsidR="004845A1" w:rsidRPr="001D11CD">
        <w:rPr>
          <w:lang w:val="bg-BG"/>
        </w:rPr>
        <w:t xml:space="preserve">е </w:t>
      </w:r>
      <w:r w:rsidR="000A167E" w:rsidRPr="001D11CD">
        <w:rPr>
          <w:lang w:val="bg-BG"/>
        </w:rPr>
        <w:t>потвърд</w:t>
      </w:r>
      <w:r w:rsidR="004845A1" w:rsidRPr="001D11CD">
        <w:rPr>
          <w:lang w:val="bg-BG"/>
        </w:rPr>
        <w:t>ил</w:t>
      </w:r>
      <w:r w:rsidR="000A167E" w:rsidRPr="001D11CD">
        <w:rPr>
          <w:lang w:val="bg-BG"/>
        </w:rPr>
        <w:t xml:space="preserve"> изцяло този подход, като същевременно </w:t>
      </w:r>
      <w:r w:rsidR="004845A1" w:rsidRPr="001D11CD">
        <w:rPr>
          <w:lang w:val="bg-BG"/>
        </w:rPr>
        <w:t xml:space="preserve">е </w:t>
      </w:r>
      <w:r w:rsidR="000A167E" w:rsidRPr="001D11CD">
        <w:rPr>
          <w:lang w:val="bg-BG"/>
        </w:rPr>
        <w:t>подчерта</w:t>
      </w:r>
      <w:r w:rsidR="004845A1" w:rsidRPr="001D11CD">
        <w:rPr>
          <w:lang w:val="bg-BG"/>
        </w:rPr>
        <w:t>л</w:t>
      </w:r>
      <w:r w:rsidR="000A167E" w:rsidRPr="001D11CD">
        <w:rPr>
          <w:lang w:val="bg-BG"/>
        </w:rPr>
        <w:t xml:space="preserve"> абсолютния характер на забраната за говорене на език, различен от български</w:t>
      </w:r>
      <w:r w:rsidR="004845A1" w:rsidRPr="001D11CD">
        <w:rPr>
          <w:lang w:val="bg-BG"/>
        </w:rPr>
        <w:t>я</w:t>
      </w:r>
      <w:r w:rsidR="000A167E" w:rsidRPr="001D11CD">
        <w:rPr>
          <w:lang w:val="bg-BG"/>
        </w:rPr>
        <w:t xml:space="preserve"> (параграф 9 по-горе). Съдът отбелязва, че т</w:t>
      </w:r>
      <w:r w:rsidR="00087584" w:rsidRPr="001D11CD">
        <w:rPr>
          <w:lang w:val="bg-BG"/>
        </w:rPr>
        <w:t>о</w:t>
      </w:r>
      <w:r w:rsidR="000A167E" w:rsidRPr="001D11CD">
        <w:rPr>
          <w:lang w:val="bg-BG"/>
        </w:rPr>
        <w:t xml:space="preserve">зи </w:t>
      </w:r>
      <w:r w:rsidR="00087584" w:rsidRPr="001D11CD">
        <w:rPr>
          <w:lang w:val="bg-BG"/>
        </w:rPr>
        <w:t xml:space="preserve">абсолютен характер </w:t>
      </w:r>
      <w:r w:rsidR="000A167E" w:rsidRPr="001D11CD">
        <w:rPr>
          <w:lang w:val="bg-BG"/>
        </w:rPr>
        <w:t>се потвърждава от примерите от съдебната практика</w:t>
      </w:r>
      <w:r w:rsidR="00B652A1" w:rsidRPr="001D11CD">
        <w:rPr>
          <w:lang w:val="bg-BG"/>
        </w:rPr>
        <w:t>,</w:t>
      </w:r>
      <w:r w:rsidR="000A167E" w:rsidRPr="001D11CD">
        <w:rPr>
          <w:lang w:val="bg-BG"/>
        </w:rPr>
        <w:t xml:space="preserve"> </w:t>
      </w:r>
      <w:r w:rsidR="00B652A1" w:rsidRPr="001D11CD">
        <w:rPr>
          <w:lang w:val="bg-BG"/>
        </w:rPr>
        <w:t>фигуриращи сред материалите по делото</w:t>
      </w:r>
      <w:r w:rsidR="000A167E" w:rsidRPr="001D11CD">
        <w:rPr>
          <w:lang w:val="bg-BG"/>
        </w:rPr>
        <w:t>, които показват, че</w:t>
      </w:r>
      <w:r w:rsidR="004F526F">
        <w:rPr>
          <w:lang w:val="bg-BG"/>
        </w:rPr>
        <w:t>,</w:t>
      </w:r>
      <w:r w:rsidR="000A167E" w:rsidRPr="001D11CD">
        <w:rPr>
          <w:lang w:val="bg-BG"/>
        </w:rPr>
        <w:t xml:space="preserve"> когато съдилищата трябва да </w:t>
      </w:r>
      <w:r w:rsidR="00B652A1" w:rsidRPr="001D11CD">
        <w:rPr>
          <w:lang w:val="bg-BG"/>
        </w:rPr>
        <w:t>отсъдят</w:t>
      </w:r>
      <w:r w:rsidR="000A167E" w:rsidRPr="001D11CD">
        <w:rPr>
          <w:lang w:val="bg-BG"/>
        </w:rPr>
        <w:t xml:space="preserve"> дали </w:t>
      </w:r>
      <w:r w:rsidR="004F526F">
        <w:rPr>
          <w:lang w:val="bg-BG"/>
        </w:rPr>
        <w:t>постановленията</w:t>
      </w:r>
      <w:r w:rsidR="000A167E" w:rsidRPr="001D11CD">
        <w:rPr>
          <w:lang w:val="bg-BG"/>
        </w:rPr>
        <w:t xml:space="preserve">, </w:t>
      </w:r>
      <w:r w:rsidR="004F526F">
        <w:rPr>
          <w:lang w:val="bg-BG"/>
        </w:rPr>
        <w:t>издадени</w:t>
      </w:r>
      <w:r w:rsidR="004F526F" w:rsidRPr="001D11CD">
        <w:rPr>
          <w:lang w:val="bg-BG"/>
        </w:rPr>
        <w:t xml:space="preserve"> </w:t>
      </w:r>
      <w:r w:rsidR="000A167E" w:rsidRPr="001D11CD">
        <w:rPr>
          <w:lang w:val="bg-BG"/>
        </w:rPr>
        <w:t>от областните управители в подобни ситуации, са закон</w:t>
      </w:r>
      <w:r w:rsidR="004F526F">
        <w:rPr>
          <w:lang w:val="bg-BG"/>
        </w:rPr>
        <w:t>осъобраз</w:t>
      </w:r>
      <w:r w:rsidR="000A167E" w:rsidRPr="001D11CD">
        <w:rPr>
          <w:lang w:val="bg-BG"/>
        </w:rPr>
        <w:t xml:space="preserve">ни, те проверяват дали </w:t>
      </w:r>
      <w:r w:rsidR="00B652A1" w:rsidRPr="001D11CD">
        <w:rPr>
          <w:lang w:val="bg-BG"/>
        </w:rPr>
        <w:t>субект</w:t>
      </w:r>
      <w:r w:rsidR="000A167E" w:rsidRPr="001D11CD">
        <w:rPr>
          <w:lang w:val="bg-BG"/>
        </w:rPr>
        <w:t xml:space="preserve"> на твърдяното нарушение е физическо лице, </w:t>
      </w:r>
      <w:r w:rsidR="004F526F">
        <w:rPr>
          <w:lang w:val="bg-BG"/>
        </w:rPr>
        <w:t>дали</w:t>
      </w:r>
      <w:r w:rsidR="004F526F" w:rsidRPr="001D11CD">
        <w:rPr>
          <w:lang w:val="bg-BG"/>
        </w:rPr>
        <w:t xml:space="preserve"> </w:t>
      </w:r>
      <w:r w:rsidR="00B652A1" w:rsidRPr="001D11CD">
        <w:rPr>
          <w:lang w:val="bg-BG"/>
        </w:rPr>
        <w:t xml:space="preserve">процесните думи са казани </w:t>
      </w:r>
      <w:r w:rsidR="000A167E" w:rsidRPr="001D11CD">
        <w:rPr>
          <w:lang w:val="bg-BG"/>
        </w:rPr>
        <w:t>на език, различен от български</w:t>
      </w:r>
      <w:r w:rsidR="00B652A1" w:rsidRPr="001D11CD">
        <w:rPr>
          <w:lang w:val="bg-BG"/>
        </w:rPr>
        <w:t>я</w:t>
      </w:r>
      <w:r w:rsidR="000A167E" w:rsidRPr="001D11CD">
        <w:rPr>
          <w:lang w:val="bg-BG"/>
        </w:rPr>
        <w:t xml:space="preserve">, и </w:t>
      </w:r>
      <w:r w:rsidR="004F526F">
        <w:rPr>
          <w:lang w:val="bg-BG"/>
        </w:rPr>
        <w:t>дали</w:t>
      </w:r>
      <w:r w:rsidR="004F526F" w:rsidRPr="001D11CD">
        <w:rPr>
          <w:lang w:val="bg-BG"/>
        </w:rPr>
        <w:t xml:space="preserve"> </w:t>
      </w:r>
      <w:r w:rsidR="000A167E" w:rsidRPr="001D11CD">
        <w:rPr>
          <w:lang w:val="bg-BG"/>
        </w:rPr>
        <w:t>с</w:t>
      </w:r>
      <w:r w:rsidR="00B652A1" w:rsidRPr="001D11CD">
        <w:rPr>
          <w:lang w:val="bg-BG"/>
        </w:rPr>
        <w:t xml:space="preserve">ъдържат </w:t>
      </w:r>
      <w:r w:rsidR="000A167E" w:rsidRPr="001D11CD">
        <w:rPr>
          <w:lang w:val="bg-BG"/>
        </w:rPr>
        <w:t>„предизбо</w:t>
      </w:r>
      <w:r w:rsidR="00033F06" w:rsidRPr="001D11CD">
        <w:rPr>
          <w:lang w:val="bg-BG"/>
        </w:rPr>
        <w:t>рна агитация“</w:t>
      </w:r>
      <w:r w:rsidR="000A167E" w:rsidRPr="001D11CD">
        <w:rPr>
          <w:lang w:val="bg-BG"/>
        </w:rPr>
        <w:t xml:space="preserve"> (параграфи 16 и 17 по-горе). Ето защо Съдът трябва да оцени намеса</w:t>
      </w:r>
      <w:r w:rsidR="00B652A1" w:rsidRPr="001D11CD">
        <w:rPr>
          <w:lang w:val="bg-BG"/>
        </w:rPr>
        <w:t>та</w:t>
      </w:r>
      <w:r w:rsidR="000A167E" w:rsidRPr="001D11CD">
        <w:rPr>
          <w:lang w:val="bg-BG"/>
        </w:rPr>
        <w:t xml:space="preserve"> по делото, като </w:t>
      </w:r>
      <w:r w:rsidR="00B652A1" w:rsidRPr="001D11CD">
        <w:rPr>
          <w:lang w:val="bg-BG"/>
        </w:rPr>
        <w:t>се опита да види</w:t>
      </w:r>
      <w:r w:rsidR="000A167E" w:rsidRPr="001D11CD">
        <w:rPr>
          <w:lang w:val="bg-BG"/>
        </w:rPr>
        <w:t xml:space="preserve"> дали забраната за използване на неофициален език в предизборна кампания е била необходима в едно демократично общество.</w:t>
      </w:r>
    </w:p>
    <w:p w14:paraId="41714538" w14:textId="3B5DE57B" w:rsidR="00B652A1"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60</w:t>
      </w:r>
      <w:r w:rsidRPr="001D11CD">
        <w:rPr>
          <w:lang w:val="bg-BG"/>
        </w:rPr>
        <w:fldChar w:fldCharType="end"/>
      </w:r>
      <w:r w:rsidRPr="001D11CD">
        <w:rPr>
          <w:lang w:val="bg-BG"/>
        </w:rPr>
        <w:t>.  </w:t>
      </w:r>
      <w:r w:rsidR="00B652A1" w:rsidRPr="001D11CD">
        <w:rPr>
          <w:lang w:val="bg-BG"/>
        </w:rPr>
        <w:t>Съдът приема, че по принцип държавите имат право да регулират използването на езици, в определени форми или като се имат предвид обстоятелства, свързани  с публичната комуникация, от кандидати и от други лица по време на предизборни кампании и</w:t>
      </w:r>
      <w:r w:rsidR="00BF1F39">
        <w:rPr>
          <w:lang w:val="bg-BG"/>
        </w:rPr>
        <w:t>,</w:t>
      </w:r>
      <w:r w:rsidR="00B652A1" w:rsidRPr="001D11CD">
        <w:rPr>
          <w:lang w:val="bg-BG"/>
        </w:rPr>
        <w:t xml:space="preserve"> ако е необходимо, да налагат определени ограничения или условия, които </w:t>
      </w:r>
      <w:r w:rsidR="00656955" w:rsidRPr="001D11CD">
        <w:rPr>
          <w:lang w:val="bg-BG"/>
        </w:rPr>
        <w:t>отговарят</w:t>
      </w:r>
      <w:r w:rsidR="00B652A1" w:rsidRPr="001D11CD">
        <w:rPr>
          <w:lang w:val="bg-BG"/>
        </w:rPr>
        <w:t xml:space="preserve"> на „належаща обществена необходимост“. Но регулаторна рамка, състояща се от абсолютна забрана за използване на неофициален език под </w:t>
      </w:r>
      <w:r w:rsidR="009B12D0" w:rsidRPr="001D11CD">
        <w:rPr>
          <w:lang w:val="bg-BG"/>
        </w:rPr>
        <w:t>страх</w:t>
      </w:r>
      <w:r w:rsidR="00B652A1" w:rsidRPr="001D11CD">
        <w:rPr>
          <w:lang w:val="bg-BG"/>
        </w:rPr>
        <w:t xml:space="preserve"> от административни санкции, не може да се счита за съвместима с основните ценности на едно демократично общество, които включват свободата на изразяване на мнение, гарантирана от член</w:t>
      </w:r>
      <w:r w:rsidR="00033F06" w:rsidRPr="001D11CD">
        <w:rPr>
          <w:lang w:val="bg-BG"/>
        </w:rPr>
        <w:t> </w:t>
      </w:r>
      <w:r w:rsidR="00B652A1" w:rsidRPr="001D11CD">
        <w:rPr>
          <w:lang w:val="bg-BG"/>
        </w:rPr>
        <w:t xml:space="preserve">10 на Конвенцията. В това отношение Съдът посочва, че езикът, използван от жалбоподателя по делото, а именно турски, е както майчин език на жалбоподателя, така и език на малцинственото население, към което той се е обръщал. В </w:t>
      </w:r>
      <w:r w:rsidR="001305D1" w:rsidRPr="001D11CD">
        <w:rPr>
          <w:lang w:val="bg-BG"/>
        </w:rPr>
        <w:t>становището си</w:t>
      </w:r>
      <w:r w:rsidR="00B652A1" w:rsidRPr="001D11CD">
        <w:rPr>
          <w:lang w:val="bg-BG"/>
        </w:rPr>
        <w:t xml:space="preserve"> пред националните съдилища той </w:t>
      </w:r>
      <w:r w:rsidR="001305D1" w:rsidRPr="001D11CD">
        <w:rPr>
          <w:lang w:val="bg-BG"/>
        </w:rPr>
        <w:t xml:space="preserve">е </w:t>
      </w:r>
      <w:r w:rsidR="00B652A1" w:rsidRPr="001D11CD">
        <w:rPr>
          <w:lang w:val="bg-BG"/>
        </w:rPr>
        <w:t>уточни</w:t>
      </w:r>
      <w:r w:rsidR="001305D1" w:rsidRPr="001D11CD">
        <w:rPr>
          <w:lang w:val="bg-BG"/>
        </w:rPr>
        <w:t>л</w:t>
      </w:r>
      <w:r w:rsidR="00B652A1" w:rsidRPr="001D11CD">
        <w:rPr>
          <w:lang w:val="bg-BG"/>
        </w:rPr>
        <w:t xml:space="preserve">, че </w:t>
      </w:r>
      <w:r w:rsidR="001305D1" w:rsidRPr="001D11CD">
        <w:rPr>
          <w:lang w:val="bg-BG"/>
        </w:rPr>
        <w:t xml:space="preserve">на </w:t>
      </w:r>
      <w:r w:rsidR="00B652A1" w:rsidRPr="001D11CD">
        <w:rPr>
          <w:lang w:val="bg-BG"/>
        </w:rPr>
        <w:t>с</w:t>
      </w:r>
      <w:r w:rsidR="001305D1" w:rsidRPr="001D11CD">
        <w:rPr>
          <w:lang w:val="bg-BG"/>
        </w:rPr>
        <w:t>рещата</w:t>
      </w:r>
      <w:r w:rsidR="00B652A1" w:rsidRPr="001D11CD">
        <w:rPr>
          <w:lang w:val="bg-BG"/>
        </w:rPr>
        <w:t xml:space="preserve"> </w:t>
      </w:r>
      <w:r w:rsidR="001305D1" w:rsidRPr="001D11CD">
        <w:rPr>
          <w:lang w:val="bg-BG"/>
        </w:rPr>
        <w:t>са присъствали</w:t>
      </w:r>
      <w:r w:rsidR="00B652A1" w:rsidRPr="001D11CD">
        <w:rPr>
          <w:lang w:val="bg-BG"/>
        </w:rPr>
        <w:t xml:space="preserve"> много хора, по-специално възрастни, които </w:t>
      </w:r>
      <w:r w:rsidR="001305D1" w:rsidRPr="001D11CD">
        <w:rPr>
          <w:lang w:val="bg-BG"/>
        </w:rPr>
        <w:t xml:space="preserve">са </w:t>
      </w:r>
      <w:r w:rsidR="00B652A1" w:rsidRPr="001D11CD">
        <w:rPr>
          <w:lang w:val="bg-BG"/>
        </w:rPr>
        <w:t>разбира</w:t>
      </w:r>
      <w:r w:rsidR="001305D1" w:rsidRPr="001D11CD">
        <w:rPr>
          <w:lang w:val="bg-BG"/>
        </w:rPr>
        <w:t>ли</w:t>
      </w:r>
      <w:r w:rsidR="00B652A1" w:rsidRPr="001D11CD">
        <w:rPr>
          <w:lang w:val="bg-BG"/>
        </w:rPr>
        <w:t xml:space="preserve"> турски по-добре от български (параграф</w:t>
      </w:r>
      <w:r w:rsidR="00033F06" w:rsidRPr="001D11CD">
        <w:rPr>
          <w:lang w:val="bg-BG"/>
        </w:rPr>
        <w:t> </w:t>
      </w:r>
      <w:r w:rsidR="00B652A1" w:rsidRPr="001D11CD">
        <w:rPr>
          <w:lang w:val="bg-BG"/>
        </w:rPr>
        <w:t xml:space="preserve">7 по-горе). Тази точка не се оспорва от Правителството. Като има предвид особеното обстоятелство на </w:t>
      </w:r>
      <w:r w:rsidR="001305D1" w:rsidRPr="001D11CD">
        <w:rPr>
          <w:lang w:val="bg-BG"/>
        </w:rPr>
        <w:t>пред</w:t>
      </w:r>
      <w:r w:rsidR="00B652A1" w:rsidRPr="001D11CD">
        <w:rPr>
          <w:lang w:val="bg-BG"/>
        </w:rPr>
        <w:t>изборния контекст и факт</w:t>
      </w:r>
      <w:r w:rsidR="001305D1" w:rsidRPr="001D11CD">
        <w:rPr>
          <w:lang w:val="bg-BG"/>
        </w:rPr>
        <w:t>ът</w:t>
      </w:r>
      <w:r w:rsidR="00B652A1" w:rsidRPr="001D11CD">
        <w:rPr>
          <w:lang w:val="bg-BG"/>
        </w:rPr>
        <w:t>, че свободните избори са немислими без свободното разпространение на мнения и политическа информация (</w:t>
      </w:r>
      <w:r w:rsidR="00033F06" w:rsidRPr="001D11CD">
        <w:rPr>
          <w:lang w:val="bg-BG"/>
        </w:rPr>
        <w:t>в</w:t>
      </w:r>
      <w:r w:rsidR="001305D1" w:rsidRPr="001D11CD">
        <w:rPr>
          <w:lang w:val="bg-BG"/>
        </w:rPr>
        <w:t>ж</w:t>
      </w:r>
      <w:r w:rsidR="00033F06" w:rsidRPr="001D11CD">
        <w:rPr>
          <w:lang w:val="bg-BG"/>
        </w:rPr>
        <w:t>.</w:t>
      </w:r>
      <w:r w:rsidR="001305D1" w:rsidRPr="001D11CD">
        <w:rPr>
          <w:lang w:val="bg-BG"/>
        </w:rPr>
        <w:t xml:space="preserve"> например </w:t>
      </w:r>
      <w:r w:rsidR="001305D1" w:rsidRPr="001D11CD">
        <w:rPr>
          <w:i/>
          <w:lang w:val="bg-BG"/>
        </w:rPr>
        <w:t>Ком</w:t>
      </w:r>
      <w:r w:rsidR="00B652A1" w:rsidRPr="001D11CD">
        <w:rPr>
          <w:i/>
          <w:lang w:val="bg-BG"/>
        </w:rPr>
        <w:t>унистическа партия на Русия и други срещу Русия</w:t>
      </w:r>
      <w:r w:rsidR="00DB2FE2" w:rsidRPr="001D11CD">
        <w:rPr>
          <w:i/>
          <w:lang w:val="bg-BG"/>
        </w:rPr>
        <w:t xml:space="preserve"> (</w:t>
      </w:r>
      <w:proofErr w:type="spellStart"/>
      <w:r w:rsidR="00DB2FE2" w:rsidRPr="001D11CD">
        <w:rPr>
          <w:i/>
          <w:lang w:val="bg-BG"/>
        </w:rPr>
        <w:t>Parti</w:t>
      </w:r>
      <w:proofErr w:type="spellEnd"/>
      <w:r w:rsidR="00DB2FE2" w:rsidRPr="001D11CD">
        <w:rPr>
          <w:i/>
          <w:lang w:val="bg-BG"/>
        </w:rPr>
        <w:t xml:space="preserve"> </w:t>
      </w:r>
      <w:proofErr w:type="spellStart"/>
      <w:r w:rsidR="00DB2FE2" w:rsidRPr="001D11CD">
        <w:rPr>
          <w:i/>
          <w:lang w:val="bg-BG"/>
        </w:rPr>
        <w:t>communiste</w:t>
      </w:r>
      <w:proofErr w:type="spellEnd"/>
      <w:r w:rsidR="00DB2FE2" w:rsidRPr="001D11CD">
        <w:rPr>
          <w:i/>
          <w:lang w:val="bg-BG"/>
        </w:rPr>
        <w:t xml:space="preserve"> </w:t>
      </w:r>
      <w:proofErr w:type="spellStart"/>
      <w:r w:rsidR="00DB2FE2" w:rsidRPr="001D11CD">
        <w:rPr>
          <w:i/>
          <w:lang w:val="bg-BG"/>
        </w:rPr>
        <w:t>de</w:t>
      </w:r>
      <w:proofErr w:type="spellEnd"/>
      <w:r w:rsidR="00DB2FE2" w:rsidRPr="001D11CD">
        <w:rPr>
          <w:i/>
          <w:lang w:val="bg-BG"/>
        </w:rPr>
        <w:t xml:space="preserve"> </w:t>
      </w:r>
      <w:proofErr w:type="spellStart"/>
      <w:r w:rsidR="00DB2FE2" w:rsidRPr="001D11CD">
        <w:rPr>
          <w:i/>
          <w:lang w:val="bg-BG"/>
        </w:rPr>
        <w:t>la</w:t>
      </w:r>
      <w:proofErr w:type="spellEnd"/>
      <w:r w:rsidR="00DB2FE2" w:rsidRPr="001D11CD">
        <w:rPr>
          <w:i/>
          <w:lang w:val="bg-BG"/>
        </w:rPr>
        <w:t xml:space="preserve"> </w:t>
      </w:r>
      <w:proofErr w:type="spellStart"/>
      <w:r w:rsidR="00DB2FE2" w:rsidRPr="001D11CD">
        <w:rPr>
          <w:i/>
          <w:lang w:val="bg-BG"/>
        </w:rPr>
        <w:t>Russie</w:t>
      </w:r>
      <w:proofErr w:type="spellEnd"/>
      <w:r w:rsidR="00DB2FE2" w:rsidRPr="001D11CD">
        <w:rPr>
          <w:i/>
          <w:lang w:val="bg-BG"/>
        </w:rPr>
        <w:t xml:space="preserve"> </w:t>
      </w:r>
      <w:proofErr w:type="spellStart"/>
      <w:r w:rsidR="00DB2FE2" w:rsidRPr="001D11CD">
        <w:rPr>
          <w:i/>
          <w:lang w:val="bg-BG"/>
        </w:rPr>
        <w:t>et</w:t>
      </w:r>
      <w:proofErr w:type="spellEnd"/>
      <w:r w:rsidR="00DB2FE2" w:rsidRPr="001D11CD">
        <w:rPr>
          <w:i/>
          <w:lang w:val="bg-BG"/>
        </w:rPr>
        <w:t xml:space="preserve"> </w:t>
      </w:r>
      <w:proofErr w:type="spellStart"/>
      <w:r w:rsidR="00DB2FE2" w:rsidRPr="001D11CD">
        <w:rPr>
          <w:i/>
          <w:lang w:val="bg-BG"/>
        </w:rPr>
        <w:t>autres</w:t>
      </w:r>
      <w:proofErr w:type="spellEnd"/>
      <w:r w:rsidR="00DB2FE2" w:rsidRPr="001D11CD">
        <w:rPr>
          <w:i/>
          <w:lang w:val="bg-BG"/>
        </w:rPr>
        <w:t xml:space="preserve"> c. </w:t>
      </w:r>
      <w:proofErr w:type="spellStart"/>
      <w:r w:rsidR="00DB2FE2" w:rsidRPr="001D11CD">
        <w:rPr>
          <w:i/>
          <w:lang w:val="bg-BG"/>
        </w:rPr>
        <w:t>Russie</w:t>
      </w:r>
      <w:proofErr w:type="spellEnd"/>
      <w:r w:rsidR="00DB2FE2" w:rsidRPr="001D11CD">
        <w:rPr>
          <w:i/>
          <w:lang w:val="bg-BG"/>
        </w:rPr>
        <w:t>)</w:t>
      </w:r>
      <w:r w:rsidR="00B652A1" w:rsidRPr="001D11CD">
        <w:rPr>
          <w:lang w:val="bg-BG"/>
        </w:rPr>
        <w:t>, № 29400/05, § 79, 19 юни 2012</w:t>
      </w:r>
      <w:r w:rsidR="00033F06" w:rsidRPr="001D11CD">
        <w:rPr>
          <w:lang w:val="bg-BG"/>
        </w:rPr>
        <w:t> г.</w:t>
      </w:r>
      <w:r w:rsidR="00B652A1" w:rsidRPr="001D11CD">
        <w:rPr>
          <w:lang w:val="bg-BG"/>
        </w:rPr>
        <w:t xml:space="preserve">, </w:t>
      </w:r>
      <w:proofErr w:type="spellStart"/>
      <w:r w:rsidR="00B652A1" w:rsidRPr="001D11CD">
        <w:rPr>
          <w:i/>
          <w:lang w:val="bg-BG"/>
        </w:rPr>
        <w:t>Шукран</w:t>
      </w:r>
      <w:proofErr w:type="spellEnd"/>
      <w:r w:rsidR="00B652A1" w:rsidRPr="001D11CD">
        <w:rPr>
          <w:i/>
          <w:lang w:val="bg-BG"/>
        </w:rPr>
        <w:t xml:space="preserve"> Айдън и други</w:t>
      </w:r>
      <w:r w:rsidR="00B652A1" w:rsidRPr="001D11CD">
        <w:rPr>
          <w:lang w:val="bg-BG"/>
        </w:rPr>
        <w:t xml:space="preserve">, горецитирано, § 55, както и препратките, </w:t>
      </w:r>
      <w:r w:rsidR="00DB2FE2" w:rsidRPr="001D11CD">
        <w:rPr>
          <w:lang w:val="bg-BG"/>
        </w:rPr>
        <w:t>цитирани в параграф 54 по-горе),</w:t>
      </w:r>
      <w:r w:rsidR="00B652A1" w:rsidRPr="001D11CD">
        <w:rPr>
          <w:lang w:val="bg-BG"/>
        </w:rPr>
        <w:t xml:space="preserve"> Съдът счита, че правото на дадено лице да </w:t>
      </w:r>
      <w:r w:rsidR="009B12D0" w:rsidRPr="001D11CD">
        <w:rPr>
          <w:lang w:val="bg-BG"/>
        </w:rPr>
        <w:t>разпространява</w:t>
      </w:r>
      <w:r w:rsidR="00B652A1" w:rsidRPr="001D11CD">
        <w:rPr>
          <w:lang w:val="bg-BG"/>
        </w:rPr>
        <w:t xml:space="preserve"> своите мнения или политически идеи и правото на други</w:t>
      </w:r>
      <w:r w:rsidR="00DB2FE2" w:rsidRPr="001D11CD">
        <w:rPr>
          <w:lang w:val="bg-BG"/>
        </w:rPr>
        <w:t>те</w:t>
      </w:r>
      <w:r w:rsidR="00B652A1" w:rsidRPr="001D11CD">
        <w:rPr>
          <w:lang w:val="bg-BG"/>
        </w:rPr>
        <w:t xml:space="preserve"> да получават такава информация би</w:t>
      </w:r>
      <w:r w:rsidR="00DB2FE2" w:rsidRPr="001D11CD">
        <w:rPr>
          <w:lang w:val="bg-BG"/>
        </w:rPr>
        <w:t>ха</w:t>
      </w:r>
      <w:r w:rsidR="00B652A1" w:rsidRPr="001D11CD">
        <w:rPr>
          <w:lang w:val="bg-BG"/>
        </w:rPr>
        <w:t xml:space="preserve"> бил</w:t>
      </w:r>
      <w:r w:rsidR="00DB2FE2" w:rsidRPr="001D11CD">
        <w:rPr>
          <w:lang w:val="bg-BG"/>
        </w:rPr>
        <w:t>и</w:t>
      </w:r>
      <w:r w:rsidR="00B652A1" w:rsidRPr="001D11CD">
        <w:rPr>
          <w:lang w:val="bg-BG"/>
        </w:rPr>
        <w:t xml:space="preserve"> безсмислен</w:t>
      </w:r>
      <w:r w:rsidR="00DB2FE2" w:rsidRPr="001D11CD">
        <w:rPr>
          <w:lang w:val="bg-BG"/>
        </w:rPr>
        <w:t>и</w:t>
      </w:r>
      <w:r w:rsidR="00B652A1" w:rsidRPr="001D11CD">
        <w:rPr>
          <w:lang w:val="bg-BG"/>
        </w:rPr>
        <w:t xml:space="preserve">, ако </w:t>
      </w:r>
      <w:r w:rsidR="00BF1F39">
        <w:rPr>
          <w:lang w:val="bg-BG"/>
        </w:rPr>
        <w:t>възможността</w:t>
      </w:r>
      <w:r w:rsidR="00BF1F39" w:rsidRPr="001D11CD">
        <w:rPr>
          <w:lang w:val="bg-BG"/>
        </w:rPr>
        <w:t xml:space="preserve"> </w:t>
      </w:r>
      <w:r w:rsidR="00B652A1" w:rsidRPr="001D11CD">
        <w:rPr>
          <w:lang w:val="bg-BG"/>
        </w:rPr>
        <w:t xml:space="preserve">да се използва език, </w:t>
      </w:r>
      <w:r w:rsidR="009B12D0" w:rsidRPr="001D11CD">
        <w:rPr>
          <w:lang w:val="bg-BG"/>
        </w:rPr>
        <w:t>който може</w:t>
      </w:r>
      <w:r w:rsidR="00B652A1" w:rsidRPr="001D11CD">
        <w:rPr>
          <w:lang w:val="bg-BG"/>
        </w:rPr>
        <w:t xml:space="preserve"> правилно да преда</w:t>
      </w:r>
      <w:r w:rsidR="00DB2FE2" w:rsidRPr="001D11CD">
        <w:rPr>
          <w:lang w:val="bg-BG"/>
        </w:rPr>
        <w:t>де</w:t>
      </w:r>
      <w:r w:rsidR="00B652A1" w:rsidRPr="001D11CD">
        <w:rPr>
          <w:lang w:val="bg-BG"/>
        </w:rPr>
        <w:t xml:space="preserve"> тези мнения и идеи, е възпрепятствана от заплахата от санкции, </w:t>
      </w:r>
      <w:r w:rsidR="00DB2FE2" w:rsidRPr="001D11CD">
        <w:rPr>
          <w:lang w:val="bg-BG"/>
        </w:rPr>
        <w:t xml:space="preserve">били те и само </w:t>
      </w:r>
      <w:r w:rsidR="00B652A1" w:rsidRPr="001D11CD">
        <w:rPr>
          <w:lang w:val="bg-BG"/>
        </w:rPr>
        <w:t>административн</w:t>
      </w:r>
      <w:r w:rsidR="00DB2FE2" w:rsidRPr="001D11CD">
        <w:rPr>
          <w:lang w:val="bg-BG"/>
        </w:rPr>
        <w:t>и</w:t>
      </w:r>
      <w:r w:rsidR="00B652A1" w:rsidRPr="001D11CD">
        <w:rPr>
          <w:lang w:val="bg-BG"/>
        </w:rPr>
        <w:t>.</w:t>
      </w:r>
    </w:p>
    <w:p w14:paraId="0E8485A6" w14:textId="6096F55B" w:rsidR="00A73F23" w:rsidRPr="001D11CD" w:rsidRDefault="000B760F" w:rsidP="000B760F">
      <w:pPr>
        <w:pStyle w:val="JuPara"/>
        <w:rPr>
          <w:snapToGrid w:val="0"/>
          <w:lang w:val="bg-BG"/>
        </w:rPr>
      </w:pPr>
      <w:r w:rsidRPr="001D11CD">
        <w:rPr>
          <w:snapToGrid w:val="0"/>
          <w:lang w:val="bg-BG"/>
        </w:rPr>
        <w:fldChar w:fldCharType="begin"/>
      </w:r>
      <w:r w:rsidRPr="001D11CD">
        <w:rPr>
          <w:snapToGrid w:val="0"/>
          <w:lang w:val="bg-BG"/>
        </w:rPr>
        <w:instrText xml:space="preserve"> SEQ level0 \*arabic \* MERGEFORMAT </w:instrText>
      </w:r>
      <w:r w:rsidRPr="001D11CD">
        <w:rPr>
          <w:snapToGrid w:val="0"/>
          <w:lang w:val="bg-BG"/>
        </w:rPr>
        <w:fldChar w:fldCharType="separate"/>
      </w:r>
      <w:r w:rsidRPr="001D11CD">
        <w:rPr>
          <w:snapToGrid w:val="0"/>
          <w:lang w:val="bg-BG"/>
        </w:rPr>
        <w:t>61</w:t>
      </w:r>
      <w:r w:rsidRPr="001D11CD">
        <w:rPr>
          <w:snapToGrid w:val="0"/>
          <w:lang w:val="bg-BG"/>
        </w:rPr>
        <w:fldChar w:fldCharType="end"/>
      </w:r>
      <w:r w:rsidRPr="001D11CD">
        <w:rPr>
          <w:snapToGrid w:val="0"/>
          <w:lang w:val="bg-BG"/>
        </w:rPr>
        <w:t>.  </w:t>
      </w:r>
      <w:r w:rsidR="00A73F23" w:rsidRPr="001D11CD">
        <w:rPr>
          <w:snapToGrid w:val="0"/>
          <w:lang w:val="bg-BG"/>
        </w:rPr>
        <w:t xml:space="preserve">В това отношение Съдът отбелязва, че сред тридесет и седемте договарящи държави, за които е събрал информация по тази точка (параграф 33 по-горе), никоя освен Украйна не предвижда, както България по време на </w:t>
      </w:r>
      <w:r w:rsidR="00BF1F39">
        <w:rPr>
          <w:snapToGrid w:val="0"/>
          <w:lang w:val="bg-BG"/>
        </w:rPr>
        <w:t>твърдяното нарушение</w:t>
      </w:r>
      <w:r w:rsidR="00A73F23" w:rsidRPr="001D11CD">
        <w:rPr>
          <w:snapToGrid w:val="0"/>
          <w:lang w:val="bg-BG"/>
        </w:rPr>
        <w:t xml:space="preserve">, </w:t>
      </w:r>
      <w:r w:rsidR="00BF1F39">
        <w:rPr>
          <w:snapToGrid w:val="0"/>
          <w:lang w:val="bg-BG"/>
        </w:rPr>
        <w:t>както и понастоящем</w:t>
      </w:r>
      <w:r w:rsidR="00A73F23" w:rsidRPr="001D11CD">
        <w:rPr>
          <w:snapToGrid w:val="0"/>
          <w:lang w:val="bg-BG"/>
        </w:rPr>
        <w:t>, разпоредба, която абсолютно да забранява на кандидатите, под страх от административни санкции, да говорят на език, различен от официалния език или езици</w:t>
      </w:r>
      <w:r w:rsidR="00BF1F39">
        <w:rPr>
          <w:snapToGrid w:val="0"/>
          <w:lang w:val="bg-BG"/>
        </w:rPr>
        <w:t>,</w:t>
      </w:r>
      <w:r w:rsidR="00A73F23" w:rsidRPr="001D11CD">
        <w:rPr>
          <w:snapToGrid w:val="0"/>
          <w:lang w:val="bg-BG"/>
        </w:rPr>
        <w:t xml:space="preserve"> по време на публични предизборни срещи. Съдът отбелязва наред с това, че въпросната разпоредба от българския Изборен кодекс е многократно критикувана от Консултативния комитет  </w:t>
      </w:r>
      <w:r w:rsidR="007154A7" w:rsidRPr="001D11CD">
        <w:rPr>
          <w:snapToGrid w:val="0"/>
          <w:lang w:val="bg-BG"/>
        </w:rPr>
        <w:t>по Рамковата к</w:t>
      </w:r>
      <w:r w:rsidR="00A73F23" w:rsidRPr="001D11CD">
        <w:rPr>
          <w:snapToGrid w:val="0"/>
          <w:lang w:val="bg-BG"/>
        </w:rPr>
        <w:t xml:space="preserve">онвенция за защита на националните малцинства, както и от Венецианската комисия и ОССЕ/СДИПЧ, които </w:t>
      </w:r>
      <w:r w:rsidR="007154A7" w:rsidRPr="001D11CD">
        <w:rPr>
          <w:snapToGrid w:val="0"/>
          <w:lang w:val="bg-BG"/>
        </w:rPr>
        <w:t>са заявявали</w:t>
      </w:r>
      <w:r w:rsidR="00A73F23" w:rsidRPr="001D11CD">
        <w:rPr>
          <w:snapToGrid w:val="0"/>
          <w:lang w:val="bg-BG"/>
        </w:rPr>
        <w:t xml:space="preserve">, че тя лишава малцинствата от възможност за насърчаване на тяхното ефективно участие в </w:t>
      </w:r>
      <w:r w:rsidR="007154A7" w:rsidRPr="001D11CD">
        <w:rPr>
          <w:snapToGrid w:val="0"/>
          <w:lang w:val="bg-BG"/>
        </w:rPr>
        <w:t>обществения живот</w:t>
      </w:r>
      <w:r w:rsidR="00033F06" w:rsidRPr="001D11CD">
        <w:rPr>
          <w:snapToGrid w:val="0"/>
          <w:lang w:val="bg-BG"/>
        </w:rPr>
        <w:t xml:space="preserve"> чрез избори (параграфи 25 и 26–</w:t>
      </w:r>
      <w:r w:rsidR="00A73F23" w:rsidRPr="001D11CD">
        <w:rPr>
          <w:snapToGrid w:val="0"/>
          <w:lang w:val="bg-BG"/>
        </w:rPr>
        <w:t xml:space="preserve">29 по-горе). Съдът </w:t>
      </w:r>
      <w:r w:rsidR="007154A7" w:rsidRPr="001D11CD">
        <w:rPr>
          <w:snapToGrid w:val="0"/>
          <w:lang w:val="bg-BG"/>
        </w:rPr>
        <w:t xml:space="preserve">препраща наред с това </w:t>
      </w:r>
      <w:r w:rsidR="00A73F23" w:rsidRPr="001D11CD">
        <w:rPr>
          <w:snapToGrid w:val="0"/>
          <w:lang w:val="bg-BG"/>
        </w:rPr>
        <w:t xml:space="preserve">и </w:t>
      </w:r>
      <w:r w:rsidR="007154A7" w:rsidRPr="001D11CD">
        <w:rPr>
          <w:snapToGrid w:val="0"/>
          <w:lang w:val="bg-BG"/>
        </w:rPr>
        <w:t>към</w:t>
      </w:r>
      <w:r w:rsidR="00A73F23" w:rsidRPr="001D11CD">
        <w:rPr>
          <w:snapToGrid w:val="0"/>
          <w:lang w:val="bg-BG"/>
        </w:rPr>
        <w:t xml:space="preserve"> препоръките и становищата, изразени от компетентните международни органи, които подчертават важността да се гарантира на кандидатите от малцинствените групи правото да използват майчиния си език в предизборни кампании, необходимо условие за осигуряване на принадлежащи към такива групи </w:t>
      </w:r>
      <w:r w:rsidR="007154A7" w:rsidRPr="001D11CD">
        <w:rPr>
          <w:snapToGrid w:val="0"/>
          <w:lang w:val="bg-BG"/>
        </w:rPr>
        <w:t xml:space="preserve">кандидати </w:t>
      </w:r>
      <w:r w:rsidR="00BF1F39">
        <w:rPr>
          <w:snapToGrid w:val="0"/>
          <w:lang w:val="bg-BG"/>
        </w:rPr>
        <w:t xml:space="preserve">на </w:t>
      </w:r>
      <w:r w:rsidR="00A73F23" w:rsidRPr="001D11CD">
        <w:rPr>
          <w:snapToGrid w:val="0"/>
          <w:lang w:val="bg-BG"/>
        </w:rPr>
        <w:t>достъп до избори</w:t>
      </w:r>
      <w:r w:rsidR="007154A7" w:rsidRPr="001D11CD">
        <w:rPr>
          <w:snapToGrid w:val="0"/>
          <w:lang w:val="bg-BG"/>
        </w:rPr>
        <w:t xml:space="preserve">, </w:t>
      </w:r>
      <w:r w:rsidR="00BF1F39" w:rsidRPr="001D11CD">
        <w:rPr>
          <w:snapToGrid w:val="0"/>
          <w:lang w:val="bg-BG"/>
        </w:rPr>
        <w:t xml:space="preserve">равен </w:t>
      </w:r>
      <w:r w:rsidR="00BF1F39">
        <w:rPr>
          <w:snapToGrid w:val="0"/>
          <w:lang w:val="bg-BG"/>
        </w:rPr>
        <w:t>на</w:t>
      </w:r>
      <w:r w:rsidR="00BF1F39" w:rsidRPr="001D11CD">
        <w:rPr>
          <w:snapToGrid w:val="0"/>
          <w:lang w:val="bg-BG"/>
        </w:rPr>
        <w:t xml:space="preserve"> </w:t>
      </w:r>
      <w:r w:rsidR="007154A7" w:rsidRPr="001D11CD">
        <w:rPr>
          <w:snapToGrid w:val="0"/>
          <w:lang w:val="bg-BG"/>
        </w:rPr>
        <w:t>този, от който се ползват и останалите</w:t>
      </w:r>
      <w:r w:rsidR="00A73F23" w:rsidRPr="001D11CD">
        <w:rPr>
          <w:snapToGrid w:val="0"/>
          <w:lang w:val="bg-BG"/>
        </w:rPr>
        <w:t xml:space="preserve"> граждани (параграфи 18</w:t>
      </w:r>
      <w:r w:rsidR="00033F06" w:rsidRPr="001D11CD">
        <w:rPr>
          <w:snapToGrid w:val="0"/>
          <w:lang w:val="bg-BG"/>
        </w:rPr>
        <w:t>–</w:t>
      </w:r>
      <w:r w:rsidR="00A73F23" w:rsidRPr="001D11CD">
        <w:rPr>
          <w:snapToGrid w:val="0"/>
          <w:lang w:val="bg-BG"/>
        </w:rPr>
        <w:t>32 по-горе).</w:t>
      </w:r>
    </w:p>
    <w:p w14:paraId="3F14B16D" w14:textId="76DCEF61" w:rsidR="003A06FB"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62</w:t>
      </w:r>
      <w:r w:rsidRPr="001D11CD">
        <w:rPr>
          <w:lang w:val="bg-BG"/>
        </w:rPr>
        <w:fldChar w:fldCharType="end"/>
      </w:r>
      <w:r w:rsidR="000B760F" w:rsidRPr="001D11CD">
        <w:rPr>
          <w:lang w:val="bg-BG"/>
        </w:rPr>
        <w:t>.  </w:t>
      </w:r>
      <w:r w:rsidR="003A06FB" w:rsidRPr="001D11CD">
        <w:rPr>
          <w:lang w:val="bg-BG"/>
        </w:rPr>
        <w:t xml:space="preserve">Подобни съображения са в хармония с ценностите на „демократичното общество“, </w:t>
      </w:r>
      <w:r w:rsidR="00BF1F39" w:rsidRPr="001D11CD">
        <w:rPr>
          <w:lang w:val="bg-BG"/>
        </w:rPr>
        <w:t>насърчаван</w:t>
      </w:r>
      <w:r w:rsidR="00BF1F39">
        <w:rPr>
          <w:lang w:val="bg-BG"/>
        </w:rPr>
        <w:t>и</w:t>
      </w:r>
      <w:r w:rsidR="00BF1F39" w:rsidRPr="001D11CD">
        <w:rPr>
          <w:lang w:val="bg-BG"/>
        </w:rPr>
        <w:t xml:space="preserve"> </w:t>
      </w:r>
      <w:r w:rsidR="003A06FB" w:rsidRPr="001D11CD">
        <w:rPr>
          <w:lang w:val="bg-BG"/>
        </w:rPr>
        <w:t>от Съда (вж</w:t>
      </w:r>
      <w:r w:rsidR="00033F06" w:rsidRPr="001D11CD">
        <w:rPr>
          <w:lang w:val="bg-BG"/>
        </w:rPr>
        <w:t>.</w:t>
      </w:r>
      <w:r w:rsidR="003A06FB" w:rsidRPr="001D11CD">
        <w:rPr>
          <w:lang w:val="bg-BG"/>
        </w:rPr>
        <w:t xml:space="preserve"> общите принципи, цитирани в параграф 55 по-горе). В контекста на настоящото дело е важно да се подчертае значението на плурализма, толерантността и защитата на малцинствата в едно демократично общество, като се заяви, че зачитането на малцинствата не само не отслабва демокрациите, но може само да ги укрепи.</w:t>
      </w:r>
    </w:p>
    <w:p w14:paraId="7BCB13D4" w14:textId="493745A1" w:rsidR="00912B95"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63</w:t>
      </w:r>
      <w:r w:rsidRPr="001D11CD">
        <w:rPr>
          <w:lang w:val="bg-BG"/>
        </w:rPr>
        <w:fldChar w:fldCharType="end"/>
      </w:r>
      <w:r w:rsidRPr="001D11CD">
        <w:rPr>
          <w:lang w:val="bg-BG"/>
        </w:rPr>
        <w:t>.  </w:t>
      </w:r>
      <w:r w:rsidR="00912B95" w:rsidRPr="001D11CD">
        <w:rPr>
          <w:lang w:val="bg-BG"/>
        </w:rPr>
        <w:t xml:space="preserve">В светлината на гореизложеното и въпреки свободата на преценка, оставена на националните власти, Съдът счита, че въпросната забрана не отговаря на належаща </w:t>
      </w:r>
      <w:r w:rsidR="009B12D0" w:rsidRPr="001D11CD">
        <w:rPr>
          <w:lang w:val="bg-BG"/>
        </w:rPr>
        <w:t>обществена</w:t>
      </w:r>
      <w:r w:rsidR="00912B95" w:rsidRPr="001D11CD">
        <w:rPr>
          <w:lang w:val="bg-BG"/>
        </w:rPr>
        <w:t xml:space="preserve"> необходимост и не е пропорционална на легитимните цели, визирани в член 10 § 2. Ето защо Съдът заключава, че намесата при упражняването от страна на жалбоподателя на правото му на свобода на изразяването на мнение, ко</w:t>
      </w:r>
      <w:r w:rsidR="007C42EC" w:rsidRPr="001D11CD">
        <w:rPr>
          <w:lang w:val="bg-BG"/>
        </w:rPr>
        <w:t>я</w:t>
      </w:r>
      <w:r w:rsidR="00912B95" w:rsidRPr="001D11CD">
        <w:rPr>
          <w:lang w:val="bg-BG"/>
        </w:rPr>
        <w:t xml:space="preserve">то произтича от забраната по член 133 от Изборния кодекс, в сила по време на </w:t>
      </w:r>
      <w:r w:rsidR="00BF1F39">
        <w:rPr>
          <w:lang w:val="bg-BG"/>
        </w:rPr>
        <w:t>твърдяното нарушение</w:t>
      </w:r>
      <w:r w:rsidR="00BF1F39" w:rsidRPr="001D11CD">
        <w:rPr>
          <w:lang w:val="bg-BG"/>
        </w:rPr>
        <w:t xml:space="preserve"> </w:t>
      </w:r>
      <w:r w:rsidR="00912B95" w:rsidRPr="001D11CD">
        <w:rPr>
          <w:lang w:val="bg-BG"/>
        </w:rPr>
        <w:t>и възпроизведена в Изборния кодекс от 2014</w:t>
      </w:r>
      <w:r w:rsidR="00033F06" w:rsidRPr="001D11CD">
        <w:rPr>
          <w:lang w:val="bg-BG"/>
        </w:rPr>
        <w:t> </w:t>
      </w:r>
      <w:r w:rsidR="00912B95" w:rsidRPr="001D11CD">
        <w:rPr>
          <w:lang w:val="bg-BG"/>
        </w:rPr>
        <w:t>г</w:t>
      </w:r>
      <w:r w:rsidR="007C42EC" w:rsidRPr="001D11CD">
        <w:rPr>
          <w:lang w:val="bg-BG"/>
        </w:rPr>
        <w:t>одина,</w:t>
      </w:r>
      <w:r w:rsidR="00912B95" w:rsidRPr="001D11CD">
        <w:rPr>
          <w:lang w:val="bg-BG"/>
        </w:rPr>
        <w:t xml:space="preserve"> не може да се разглежда като „необходим</w:t>
      </w:r>
      <w:r w:rsidR="007C42EC" w:rsidRPr="001D11CD">
        <w:rPr>
          <w:lang w:val="bg-BG"/>
        </w:rPr>
        <w:t>а</w:t>
      </w:r>
      <w:r w:rsidR="00912B95" w:rsidRPr="001D11CD">
        <w:rPr>
          <w:lang w:val="bg-BG"/>
        </w:rPr>
        <w:t xml:space="preserve"> в едно демократично общество“.</w:t>
      </w:r>
    </w:p>
    <w:bookmarkStart w:id="21" w:name="Para57"/>
    <w:p w14:paraId="2279A20B" w14:textId="7D219CDA"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Pr="001D11CD">
        <w:rPr>
          <w:lang w:val="bg-BG"/>
        </w:rPr>
        <w:t>64</w:t>
      </w:r>
      <w:r w:rsidRPr="001D11CD">
        <w:rPr>
          <w:lang w:val="bg-BG"/>
        </w:rPr>
        <w:fldChar w:fldCharType="end"/>
      </w:r>
      <w:bookmarkEnd w:id="21"/>
      <w:r w:rsidRPr="001D11CD">
        <w:rPr>
          <w:lang w:val="bg-BG"/>
        </w:rPr>
        <w:t>.  </w:t>
      </w:r>
      <w:r w:rsidR="000611E8" w:rsidRPr="001D11CD">
        <w:rPr>
          <w:lang w:val="bg-BG"/>
        </w:rPr>
        <w:t>Следователно</w:t>
      </w:r>
      <w:r w:rsidRPr="001D11CD">
        <w:rPr>
          <w:lang w:val="bg-BG"/>
        </w:rPr>
        <w:t xml:space="preserve"> </w:t>
      </w:r>
      <w:r w:rsidR="000611E8" w:rsidRPr="001D11CD">
        <w:rPr>
          <w:lang w:val="bg-BG"/>
        </w:rPr>
        <w:t>налице е</w:t>
      </w:r>
      <w:r w:rsidRPr="001D11CD">
        <w:rPr>
          <w:lang w:val="bg-BG"/>
        </w:rPr>
        <w:t xml:space="preserve"> </w:t>
      </w:r>
      <w:r w:rsidR="00D177F2" w:rsidRPr="001D11CD">
        <w:rPr>
          <w:lang w:val="bg-BG"/>
        </w:rPr>
        <w:t>нарушение на</w:t>
      </w:r>
      <w:r w:rsidRPr="001D11CD">
        <w:rPr>
          <w:lang w:val="bg-BG"/>
        </w:rPr>
        <w:t xml:space="preserve"> </w:t>
      </w:r>
      <w:r w:rsidR="001A14B1" w:rsidRPr="001D11CD">
        <w:rPr>
          <w:lang w:val="bg-BG"/>
        </w:rPr>
        <w:t>член</w:t>
      </w:r>
      <w:r w:rsidRPr="001D11CD">
        <w:rPr>
          <w:lang w:val="bg-BG"/>
        </w:rPr>
        <w:t xml:space="preserve"> 10 </w:t>
      </w:r>
      <w:r w:rsidR="003A06FB" w:rsidRPr="001D11CD">
        <w:rPr>
          <w:lang w:val="bg-BG"/>
        </w:rPr>
        <w:t>от</w:t>
      </w:r>
      <w:r w:rsidRPr="001D11CD">
        <w:rPr>
          <w:lang w:val="bg-BG"/>
        </w:rPr>
        <w:t xml:space="preserve"> </w:t>
      </w:r>
      <w:r w:rsidR="00156A3C" w:rsidRPr="001D11CD">
        <w:rPr>
          <w:lang w:val="bg-BG"/>
        </w:rPr>
        <w:t>Конвенцията</w:t>
      </w:r>
      <w:r w:rsidRPr="001D11CD">
        <w:rPr>
          <w:lang w:val="bg-BG"/>
        </w:rPr>
        <w:t>.</w:t>
      </w:r>
    </w:p>
    <w:p w14:paraId="2F4A55A4" w14:textId="37D73226" w:rsidR="000B760F" w:rsidRPr="001D11CD" w:rsidRDefault="00CA553F" w:rsidP="000B760F">
      <w:pPr>
        <w:pStyle w:val="JuHIRoman"/>
        <w:rPr>
          <w:lang w:val="bg-BG"/>
        </w:rPr>
      </w:pPr>
      <w:r w:rsidRPr="001D11CD">
        <w:rPr>
          <w:lang w:val="bg-BG"/>
        </w:rPr>
        <w:t>ОТНОСНО</w:t>
      </w:r>
      <w:r w:rsidR="007C42EC" w:rsidRPr="001D11CD">
        <w:rPr>
          <w:lang w:val="bg-BG"/>
        </w:rPr>
        <w:t xml:space="preserve"> ТВЪРД</w:t>
      </w:r>
      <w:r w:rsidR="00033F06" w:rsidRPr="001D11CD">
        <w:rPr>
          <w:lang w:val="bg-BG"/>
        </w:rPr>
        <w:t>Е</w:t>
      </w:r>
      <w:r w:rsidR="007C42EC" w:rsidRPr="001D11CD">
        <w:rPr>
          <w:lang w:val="bg-BG"/>
        </w:rPr>
        <w:t xml:space="preserve">НИТЕ </w:t>
      </w:r>
      <w:r w:rsidR="00D177F2" w:rsidRPr="001D11CD">
        <w:rPr>
          <w:lang w:val="bg-BG"/>
        </w:rPr>
        <w:t>НАРУШЕНИ</w:t>
      </w:r>
      <w:r w:rsidR="007C42EC" w:rsidRPr="001D11CD">
        <w:rPr>
          <w:lang w:val="bg-BG"/>
        </w:rPr>
        <w:t xml:space="preserve">Я </w:t>
      </w:r>
      <w:r w:rsidR="00D177F2" w:rsidRPr="001D11CD">
        <w:rPr>
          <w:lang w:val="bg-BG"/>
        </w:rPr>
        <w:t>НА</w:t>
      </w:r>
      <w:r w:rsidR="007C42EC" w:rsidRPr="001D11CD">
        <w:rPr>
          <w:lang w:val="bg-BG"/>
        </w:rPr>
        <w:t xml:space="preserve"> </w:t>
      </w:r>
      <w:r w:rsidR="001A14B1" w:rsidRPr="001D11CD">
        <w:rPr>
          <w:lang w:val="bg-BG"/>
        </w:rPr>
        <w:t>ЧЛЕН</w:t>
      </w:r>
      <w:r w:rsidR="00033F06" w:rsidRPr="001D11CD">
        <w:rPr>
          <w:lang w:val="bg-BG"/>
        </w:rPr>
        <w:t> </w:t>
      </w:r>
      <w:r w:rsidR="000B760F" w:rsidRPr="001D11CD">
        <w:rPr>
          <w:lang w:val="bg-BG"/>
        </w:rPr>
        <w:t xml:space="preserve">10 </w:t>
      </w:r>
      <w:r w:rsidR="007C42EC" w:rsidRPr="001D11CD">
        <w:rPr>
          <w:lang w:val="bg-BG"/>
        </w:rPr>
        <w:t xml:space="preserve">ВЪВ ВРЪЗКА С </w:t>
      </w:r>
      <w:r w:rsidR="001A14B1" w:rsidRPr="001D11CD">
        <w:rPr>
          <w:lang w:val="bg-BG"/>
        </w:rPr>
        <w:t>член</w:t>
      </w:r>
      <w:r w:rsidR="007C42EC" w:rsidRPr="001D11CD">
        <w:rPr>
          <w:lang w:val="bg-BG"/>
        </w:rPr>
        <w:t>ОВЕ</w:t>
      </w:r>
      <w:r w:rsidR="000B760F" w:rsidRPr="001D11CD">
        <w:rPr>
          <w:lang w:val="bg-BG"/>
        </w:rPr>
        <w:t xml:space="preserve"> 13 </w:t>
      </w:r>
      <w:r w:rsidR="007C42EC" w:rsidRPr="001D11CD">
        <w:rPr>
          <w:lang w:val="bg-BG"/>
        </w:rPr>
        <w:t>И</w:t>
      </w:r>
      <w:r w:rsidR="000B760F" w:rsidRPr="001D11CD">
        <w:rPr>
          <w:lang w:val="bg-BG"/>
        </w:rPr>
        <w:t xml:space="preserve"> 14 </w:t>
      </w:r>
      <w:r w:rsidR="007C42EC" w:rsidRPr="001D11CD">
        <w:rPr>
          <w:lang w:val="bg-BG"/>
        </w:rPr>
        <w:t xml:space="preserve">ОТ </w:t>
      </w:r>
      <w:r w:rsidR="00156A3C" w:rsidRPr="001D11CD">
        <w:rPr>
          <w:lang w:val="bg-BG"/>
        </w:rPr>
        <w:t>КОНВЕНЦИЯТА</w:t>
      </w:r>
    </w:p>
    <w:p w14:paraId="5C6CF3A1" w14:textId="68770375" w:rsidR="00CA553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65</w:t>
      </w:r>
      <w:r w:rsidRPr="001D11CD">
        <w:rPr>
          <w:lang w:val="bg-BG"/>
        </w:rPr>
        <w:fldChar w:fldCharType="end"/>
      </w:r>
      <w:r w:rsidRPr="001D11CD">
        <w:rPr>
          <w:lang w:val="bg-BG"/>
        </w:rPr>
        <w:t>.  </w:t>
      </w:r>
      <w:r w:rsidR="000C7FEC" w:rsidRPr="001D11CD">
        <w:rPr>
          <w:lang w:val="bg-BG"/>
        </w:rPr>
        <w:t>Жалбоподателят</w:t>
      </w:r>
      <w:r w:rsidRPr="001D11CD">
        <w:rPr>
          <w:lang w:val="bg-BG"/>
        </w:rPr>
        <w:t xml:space="preserve"> </w:t>
      </w:r>
      <w:r w:rsidR="00CA553F" w:rsidRPr="001D11CD">
        <w:rPr>
          <w:lang w:val="bg-BG"/>
        </w:rPr>
        <w:t>твърди също така, че с наложен</w:t>
      </w:r>
      <w:r w:rsidR="009B12D0" w:rsidRPr="001D11CD">
        <w:rPr>
          <w:lang w:val="bg-BG"/>
        </w:rPr>
        <w:t>ото</w:t>
      </w:r>
      <w:r w:rsidR="00CA553F" w:rsidRPr="001D11CD">
        <w:rPr>
          <w:lang w:val="bg-BG"/>
        </w:rPr>
        <w:t xml:space="preserve"> му </w:t>
      </w:r>
      <w:r w:rsidR="00FC639A" w:rsidRPr="001D11CD">
        <w:rPr>
          <w:lang w:val="bg-BG"/>
        </w:rPr>
        <w:t>административно наказание</w:t>
      </w:r>
      <w:r w:rsidR="00CA553F" w:rsidRPr="001D11CD">
        <w:rPr>
          <w:lang w:val="bg-BG"/>
        </w:rPr>
        <w:t xml:space="preserve"> единствено на основание, че се е изразявал на турски по време на въпросната среща, националните власти са се отнесли с него по дискриминационен начин, в противоречие с разпоредбите на член 14 във връзка с член 10. Той допълва, че заложената в Изборния кодекс абсолютна забрана за говорене на чужд език по време на предизборни кампании е попречила на съдилищата да извършат в конкретния случай реален съдебен контрол на наложената му мярка. Той упреква съдилищата, пред които се е оплакал от нарушението на член 10, произтичащо според него</w:t>
      </w:r>
      <w:r w:rsidR="008F74D4" w:rsidRPr="001D11CD">
        <w:rPr>
          <w:lang w:val="bg-BG"/>
        </w:rPr>
        <w:t xml:space="preserve"> от процес</w:t>
      </w:r>
      <w:r w:rsidR="00CA553F" w:rsidRPr="001D11CD">
        <w:rPr>
          <w:lang w:val="bg-BG"/>
        </w:rPr>
        <w:t>ната забрана</w:t>
      </w:r>
      <w:r w:rsidR="008F74D4" w:rsidRPr="001D11CD">
        <w:rPr>
          <w:lang w:val="bg-BG"/>
        </w:rPr>
        <w:t>,</w:t>
      </w:r>
      <w:r w:rsidR="00CA553F" w:rsidRPr="001D11CD">
        <w:rPr>
          <w:lang w:val="bg-BG"/>
        </w:rPr>
        <w:t xml:space="preserve"> </w:t>
      </w:r>
      <w:r w:rsidR="008F74D4" w:rsidRPr="001D11CD">
        <w:rPr>
          <w:lang w:val="bg-BG"/>
        </w:rPr>
        <w:t>че не са решили да приложат</w:t>
      </w:r>
      <w:r w:rsidR="00CA553F" w:rsidRPr="001D11CD">
        <w:rPr>
          <w:lang w:val="bg-BG"/>
        </w:rPr>
        <w:t xml:space="preserve"> пряко разпоредбите на Конвенцията. Поради това моли Съд</w:t>
      </w:r>
      <w:r w:rsidR="008F74D4" w:rsidRPr="001D11CD">
        <w:rPr>
          <w:lang w:val="bg-BG"/>
        </w:rPr>
        <w:t>а</w:t>
      </w:r>
      <w:r w:rsidR="00CA553F" w:rsidRPr="001D11CD">
        <w:rPr>
          <w:lang w:val="bg-BG"/>
        </w:rPr>
        <w:t xml:space="preserve"> да </w:t>
      </w:r>
      <w:r w:rsidR="008F74D4" w:rsidRPr="001D11CD">
        <w:rPr>
          <w:lang w:val="bg-BG"/>
        </w:rPr>
        <w:t xml:space="preserve">констатира нарушение на </w:t>
      </w:r>
      <w:r w:rsidR="00CA553F" w:rsidRPr="001D11CD">
        <w:rPr>
          <w:lang w:val="bg-BG"/>
        </w:rPr>
        <w:t xml:space="preserve">член 10 </w:t>
      </w:r>
      <w:r w:rsidR="008F74D4" w:rsidRPr="001D11CD">
        <w:rPr>
          <w:lang w:val="bg-BG"/>
        </w:rPr>
        <w:t xml:space="preserve">във връзка </w:t>
      </w:r>
      <w:r w:rsidR="00CA553F" w:rsidRPr="001D11CD">
        <w:rPr>
          <w:lang w:val="bg-BG"/>
        </w:rPr>
        <w:t>с членове 13 и 14.</w:t>
      </w:r>
    </w:p>
    <w:p w14:paraId="78912BA9" w14:textId="193BC8D2" w:rsidR="00C44DC4" w:rsidRPr="001D11CD" w:rsidRDefault="00A25623" w:rsidP="000B760F">
      <w:pPr>
        <w:pStyle w:val="JuPara"/>
        <w:rPr>
          <w:lang w:val="bg-BG"/>
        </w:rPr>
      </w:pPr>
      <w:r w:rsidRPr="001D11CD">
        <w:rPr>
          <w:lang w:val="bg-BG"/>
        </w:rPr>
        <w:fldChar w:fldCharType="begin"/>
      </w:r>
      <w:r w:rsidRPr="001D11CD">
        <w:rPr>
          <w:lang w:val="bg-BG"/>
        </w:rPr>
        <w:instrText xml:space="preserve"> SEQ level0 \*arabic \* MERGEFORMAT </w:instrText>
      </w:r>
      <w:r w:rsidRPr="001D11CD">
        <w:rPr>
          <w:lang w:val="bg-BG"/>
        </w:rPr>
        <w:fldChar w:fldCharType="separate"/>
      </w:r>
      <w:r w:rsidR="000B760F" w:rsidRPr="001D11CD">
        <w:rPr>
          <w:lang w:val="bg-BG"/>
        </w:rPr>
        <w:t>66</w:t>
      </w:r>
      <w:r w:rsidRPr="001D11CD">
        <w:rPr>
          <w:lang w:val="bg-BG"/>
        </w:rPr>
        <w:fldChar w:fldCharType="end"/>
      </w:r>
      <w:r w:rsidR="000B760F" w:rsidRPr="001D11CD">
        <w:rPr>
          <w:lang w:val="bg-BG"/>
        </w:rPr>
        <w:t>.  </w:t>
      </w:r>
      <w:r w:rsidR="00C44DC4" w:rsidRPr="001D11CD">
        <w:rPr>
          <w:lang w:val="bg-BG"/>
        </w:rPr>
        <w:t>Правителството твърди, че вътрешноправните средства за защита не са изчерпани, що се отнася до оплакването по член 10 във връзка с член 14. То заявява, че жалбоподателят е имал възможност да поиска от Комисията за защита от дискриминация да изпрати до различни заинтересовани институции препоръки, целящи да прекратят твърд</w:t>
      </w:r>
      <w:r w:rsidR="00E13D88">
        <w:rPr>
          <w:lang w:val="bg-BG"/>
        </w:rPr>
        <w:t>е</w:t>
      </w:r>
      <w:r w:rsidR="00C44DC4" w:rsidRPr="001D11CD">
        <w:rPr>
          <w:lang w:val="bg-BG"/>
        </w:rPr>
        <w:t xml:space="preserve">ните дискриминационни практики или също така да заведе дело пред съда за установяване наличието </w:t>
      </w:r>
      <w:r w:rsidR="00082B80">
        <w:rPr>
          <w:lang w:val="bg-BG"/>
        </w:rPr>
        <w:t xml:space="preserve">на </w:t>
      </w:r>
      <w:r w:rsidR="00C57997">
        <w:rPr>
          <w:lang w:val="bg-BG"/>
        </w:rPr>
        <w:t xml:space="preserve"> </w:t>
      </w:r>
      <w:r w:rsidR="00C44DC4" w:rsidRPr="001D11CD">
        <w:rPr>
          <w:lang w:val="bg-BG"/>
        </w:rPr>
        <w:t>дискриминационно действие срещу него и получаване на обезщетение. Правителството оспорва по същество и оплакванията по членове 10, 13 и 14.</w:t>
      </w:r>
    </w:p>
    <w:p w14:paraId="6E155678" w14:textId="38CC94C4" w:rsidR="005930A4"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67</w:t>
      </w:r>
      <w:r w:rsidRPr="001D11CD">
        <w:rPr>
          <w:lang w:val="bg-BG"/>
        </w:rPr>
        <w:fldChar w:fldCharType="end"/>
      </w:r>
      <w:r w:rsidRPr="001D11CD">
        <w:rPr>
          <w:lang w:val="bg-BG"/>
        </w:rPr>
        <w:t>.  </w:t>
      </w:r>
      <w:r w:rsidR="005930A4" w:rsidRPr="001D11CD">
        <w:rPr>
          <w:lang w:val="bg-BG"/>
        </w:rPr>
        <w:t>Като има предвид заключенията, до които достигна при разглеждането на оплакванията, формулирани на плоскостта на член 10 от Конвенцията, взети поотделно (параграфи 57</w:t>
      </w:r>
      <w:r w:rsidR="00033F06" w:rsidRPr="001D11CD">
        <w:rPr>
          <w:lang w:val="bg-BG"/>
        </w:rPr>
        <w:t>–</w:t>
      </w:r>
      <w:r w:rsidR="005930A4" w:rsidRPr="001D11CD">
        <w:rPr>
          <w:lang w:val="bg-BG"/>
        </w:rPr>
        <w:t>64 по-горе), Съдът намира за ненужно при обстоятелствата по настоящото дело да разглежда допустимостта и основателността на оплакванията, направени по член 10 във връзка с членове 13 и 14.</w:t>
      </w:r>
    </w:p>
    <w:p w14:paraId="68BDA3BE" w14:textId="1DD5D23E" w:rsidR="000B760F" w:rsidRPr="001D11CD" w:rsidRDefault="005930A4" w:rsidP="000B760F">
      <w:pPr>
        <w:pStyle w:val="JuHIRoman"/>
        <w:rPr>
          <w:lang w:val="bg-BG"/>
        </w:rPr>
      </w:pPr>
      <w:r w:rsidRPr="001D11CD">
        <w:rPr>
          <w:lang w:val="bg-BG"/>
        </w:rPr>
        <w:t xml:space="preserve">ОТНОСНО </w:t>
      </w:r>
      <w:r w:rsidR="000611E8" w:rsidRPr="001D11CD">
        <w:rPr>
          <w:lang w:val="bg-BG"/>
        </w:rPr>
        <w:t>ПРИЛОЖЕНИЕ</w:t>
      </w:r>
      <w:r w:rsidRPr="001D11CD">
        <w:rPr>
          <w:lang w:val="bg-BG"/>
        </w:rPr>
        <w:t>ТО</w:t>
      </w:r>
      <w:r w:rsidR="000611E8" w:rsidRPr="001D11CD">
        <w:rPr>
          <w:lang w:val="bg-BG"/>
        </w:rPr>
        <w:t xml:space="preserve"> НА </w:t>
      </w:r>
      <w:r w:rsidR="001A14B1" w:rsidRPr="001D11CD">
        <w:rPr>
          <w:lang w:val="bg-BG"/>
        </w:rPr>
        <w:t>ЧЛЕН</w:t>
      </w:r>
      <w:r w:rsidR="000B760F" w:rsidRPr="001D11CD">
        <w:rPr>
          <w:lang w:val="bg-BG"/>
        </w:rPr>
        <w:t xml:space="preserve"> 41 </w:t>
      </w:r>
      <w:r w:rsidRPr="001D11CD">
        <w:rPr>
          <w:lang w:val="bg-BG"/>
        </w:rPr>
        <w:t xml:space="preserve">ОТ </w:t>
      </w:r>
      <w:r w:rsidR="00156A3C" w:rsidRPr="001D11CD">
        <w:rPr>
          <w:lang w:val="bg-BG"/>
        </w:rPr>
        <w:t>КОНВЕНЦИЯТА</w:t>
      </w:r>
    </w:p>
    <w:p w14:paraId="4E3FA55C" w14:textId="2C2FFFB1"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68</w:t>
      </w:r>
      <w:r w:rsidRPr="001D11CD">
        <w:rPr>
          <w:lang w:val="bg-BG"/>
        </w:rPr>
        <w:fldChar w:fldCharType="end"/>
      </w:r>
      <w:r w:rsidRPr="001D11CD">
        <w:rPr>
          <w:lang w:val="bg-BG"/>
        </w:rPr>
        <w:t>.  </w:t>
      </w:r>
      <w:r w:rsidR="005930A4" w:rsidRPr="001D11CD">
        <w:rPr>
          <w:lang w:val="bg-BG"/>
        </w:rPr>
        <w:t xml:space="preserve">Съгласно </w:t>
      </w:r>
      <w:r w:rsidR="001A14B1" w:rsidRPr="001D11CD">
        <w:rPr>
          <w:lang w:val="bg-BG"/>
        </w:rPr>
        <w:t>член</w:t>
      </w:r>
      <w:r w:rsidRPr="001D11CD">
        <w:rPr>
          <w:lang w:val="bg-BG"/>
        </w:rPr>
        <w:t xml:space="preserve"> 41 </w:t>
      </w:r>
      <w:r w:rsidR="005930A4" w:rsidRPr="001D11CD">
        <w:rPr>
          <w:lang w:val="bg-BG"/>
        </w:rPr>
        <w:t>от</w:t>
      </w:r>
      <w:r w:rsidRPr="001D11CD">
        <w:rPr>
          <w:lang w:val="bg-BG"/>
        </w:rPr>
        <w:t xml:space="preserve"> </w:t>
      </w:r>
      <w:r w:rsidR="00156A3C" w:rsidRPr="001D11CD">
        <w:rPr>
          <w:lang w:val="bg-BG"/>
        </w:rPr>
        <w:t>Конвенцията</w:t>
      </w:r>
      <w:r w:rsidRPr="001D11CD">
        <w:rPr>
          <w:lang w:val="bg-BG"/>
        </w:rPr>
        <w:t>:</w:t>
      </w:r>
    </w:p>
    <w:p w14:paraId="340EF0F8" w14:textId="77777777" w:rsidR="005930A4" w:rsidRPr="001D11CD" w:rsidRDefault="005930A4" w:rsidP="000B760F">
      <w:pPr>
        <w:pStyle w:val="JuQuot"/>
        <w:rPr>
          <w:lang w:val="bg-BG"/>
        </w:rPr>
      </w:pPr>
      <w:r w:rsidRPr="001D11CD">
        <w:rPr>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1D11CD">
        <w:rPr>
          <w:lang w:val="bg-BG"/>
        </w:rPr>
        <w:t>Βисокодоговаряща</w:t>
      </w:r>
      <w:proofErr w:type="spellEnd"/>
      <w:r w:rsidRPr="001D11CD">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 </w:t>
      </w:r>
    </w:p>
    <w:p w14:paraId="7254C244" w14:textId="0BAC11FB" w:rsidR="000B760F" w:rsidRPr="001D11CD" w:rsidRDefault="005930A4" w:rsidP="000B760F">
      <w:pPr>
        <w:pStyle w:val="JuHA"/>
        <w:rPr>
          <w:lang w:val="bg-BG"/>
        </w:rPr>
      </w:pPr>
      <w:r w:rsidRPr="001D11CD">
        <w:rPr>
          <w:lang w:val="bg-BG"/>
        </w:rPr>
        <w:t>Вреди</w:t>
      </w:r>
    </w:p>
    <w:p w14:paraId="38AD8F55" w14:textId="29690F68"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69</w:t>
      </w:r>
      <w:r w:rsidRPr="001D11CD">
        <w:rPr>
          <w:lang w:val="bg-BG"/>
        </w:rPr>
        <w:fldChar w:fldCharType="end"/>
      </w:r>
      <w:r w:rsidRPr="001D11CD">
        <w:rPr>
          <w:lang w:val="bg-BG"/>
        </w:rPr>
        <w:t>.  </w:t>
      </w:r>
      <w:r w:rsidR="000C7FEC" w:rsidRPr="001D11CD">
        <w:rPr>
          <w:lang w:val="bg-BG"/>
        </w:rPr>
        <w:t>Жалбоподателят</w:t>
      </w:r>
      <w:r w:rsidRPr="001D11CD">
        <w:rPr>
          <w:lang w:val="bg-BG"/>
        </w:rPr>
        <w:t xml:space="preserve"> </w:t>
      </w:r>
      <w:r w:rsidR="005930A4" w:rsidRPr="001D11CD">
        <w:rPr>
          <w:lang w:val="bg-BG"/>
        </w:rPr>
        <w:t xml:space="preserve">претендира за сумата от </w:t>
      </w:r>
      <w:r w:rsidRPr="001D11CD">
        <w:rPr>
          <w:lang w:val="bg-BG"/>
        </w:rPr>
        <w:t xml:space="preserve">15 000 </w:t>
      </w:r>
      <w:r w:rsidR="00C311F0" w:rsidRPr="001D11CD">
        <w:rPr>
          <w:lang w:val="bg-BG"/>
        </w:rPr>
        <w:t>евро</w:t>
      </w:r>
      <w:r w:rsidRPr="001D11CD">
        <w:rPr>
          <w:lang w:val="bg-BG"/>
        </w:rPr>
        <w:t xml:space="preserve"> (EUR) </w:t>
      </w:r>
      <w:r w:rsidR="00AC1CF7" w:rsidRPr="001D11CD">
        <w:rPr>
          <w:lang w:val="bg-BG"/>
        </w:rPr>
        <w:t>за морални вреди</w:t>
      </w:r>
      <w:r w:rsidRPr="001D11CD">
        <w:rPr>
          <w:lang w:val="bg-BG"/>
        </w:rPr>
        <w:t>.</w:t>
      </w:r>
    </w:p>
    <w:p w14:paraId="7560879E" w14:textId="1095AE35"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70</w:t>
      </w:r>
      <w:r w:rsidRPr="001D11CD">
        <w:rPr>
          <w:lang w:val="bg-BG"/>
        </w:rPr>
        <w:fldChar w:fldCharType="end"/>
      </w:r>
      <w:r w:rsidRPr="001D11CD">
        <w:rPr>
          <w:lang w:val="bg-BG"/>
        </w:rPr>
        <w:t xml:space="preserve">.   </w:t>
      </w:r>
      <w:r w:rsidR="00156A3C" w:rsidRPr="001D11CD">
        <w:rPr>
          <w:lang w:val="bg-BG"/>
        </w:rPr>
        <w:t>Правителство</w:t>
      </w:r>
      <w:r w:rsidR="005930A4" w:rsidRPr="001D11CD">
        <w:rPr>
          <w:lang w:val="bg-BG"/>
        </w:rPr>
        <w:t>то оспорва претенциите му</w:t>
      </w:r>
      <w:r w:rsidRPr="001D11CD">
        <w:rPr>
          <w:lang w:val="bg-BG"/>
        </w:rPr>
        <w:t>.</w:t>
      </w:r>
    </w:p>
    <w:p w14:paraId="133FAD24" w14:textId="49E82BCE"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71</w:t>
      </w:r>
      <w:r w:rsidRPr="001D11CD">
        <w:rPr>
          <w:lang w:val="bg-BG"/>
        </w:rPr>
        <w:fldChar w:fldCharType="end"/>
      </w:r>
      <w:r w:rsidRPr="001D11CD">
        <w:rPr>
          <w:lang w:val="bg-BG"/>
        </w:rPr>
        <w:t>.  </w:t>
      </w:r>
      <w:r w:rsidR="005930A4" w:rsidRPr="001D11CD">
        <w:rPr>
          <w:lang w:val="bg-BG"/>
        </w:rPr>
        <w:t>Съдът, след като отсъди, че забраната по член 133 от Изборния коде</w:t>
      </w:r>
      <w:r w:rsidR="001D11CD" w:rsidRPr="001D11CD">
        <w:rPr>
          <w:lang w:val="bg-BG"/>
        </w:rPr>
        <w:t>кс от 2011 година се анализира —</w:t>
      </w:r>
      <w:r w:rsidR="005930A4" w:rsidRPr="001D11CD">
        <w:rPr>
          <w:lang w:val="bg-BG"/>
        </w:rPr>
        <w:t xml:space="preserve"> по отношение на правото на свобода на изразяван</w:t>
      </w:r>
      <w:r w:rsidR="001D11CD" w:rsidRPr="001D11CD">
        <w:rPr>
          <w:lang w:val="bg-BG"/>
        </w:rPr>
        <w:t>е на мнението на жалбоподателя —</w:t>
      </w:r>
      <w:r w:rsidR="005930A4" w:rsidRPr="001D11CD">
        <w:rPr>
          <w:lang w:val="bg-BG"/>
        </w:rPr>
        <w:t xml:space="preserve"> като намеса, противоречаща на принципите на Конвенцията, счита, че </w:t>
      </w:r>
      <w:r w:rsidR="00E47FD5" w:rsidRPr="001D11CD">
        <w:rPr>
          <w:lang w:val="bg-BG"/>
        </w:rPr>
        <w:t xml:space="preserve">тя е довела </w:t>
      </w:r>
      <w:r w:rsidR="005930A4" w:rsidRPr="001D11CD">
        <w:rPr>
          <w:lang w:val="bg-BG"/>
        </w:rPr>
        <w:t xml:space="preserve">до </w:t>
      </w:r>
      <w:r w:rsidR="00E47FD5" w:rsidRPr="001D11CD">
        <w:rPr>
          <w:lang w:val="bg-BG"/>
        </w:rPr>
        <w:t xml:space="preserve">морални вреди </w:t>
      </w:r>
      <w:r w:rsidR="005930A4" w:rsidRPr="001D11CD">
        <w:rPr>
          <w:lang w:val="bg-BG"/>
        </w:rPr>
        <w:t xml:space="preserve">за </w:t>
      </w:r>
      <w:r w:rsidR="009913FC" w:rsidRPr="001D11CD">
        <w:rPr>
          <w:lang w:val="bg-BG"/>
        </w:rPr>
        <w:t>лицето</w:t>
      </w:r>
      <w:r w:rsidR="005930A4" w:rsidRPr="001D11CD">
        <w:rPr>
          <w:lang w:val="bg-BG"/>
        </w:rPr>
        <w:t xml:space="preserve">, </w:t>
      </w:r>
      <w:r w:rsidR="00E47FD5" w:rsidRPr="001D11CD">
        <w:rPr>
          <w:lang w:val="bg-BG"/>
        </w:rPr>
        <w:t xml:space="preserve">които </w:t>
      </w:r>
      <w:r w:rsidR="00204C27" w:rsidRPr="001D11CD">
        <w:rPr>
          <w:lang w:val="bg-BG"/>
        </w:rPr>
        <w:t xml:space="preserve">самото </w:t>
      </w:r>
      <w:r w:rsidR="005930A4" w:rsidRPr="001D11CD">
        <w:rPr>
          <w:lang w:val="bg-BG"/>
        </w:rPr>
        <w:t>установяване на нарушение</w:t>
      </w:r>
      <w:r w:rsidR="00E47FD5" w:rsidRPr="001D11CD">
        <w:rPr>
          <w:lang w:val="bg-BG"/>
        </w:rPr>
        <w:t>то</w:t>
      </w:r>
      <w:r w:rsidR="005930A4" w:rsidRPr="001D11CD">
        <w:rPr>
          <w:lang w:val="bg-BG"/>
        </w:rPr>
        <w:t xml:space="preserve"> н</w:t>
      </w:r>
      <w:r w:rsidR="009B12D0" w:rsidRPr="001D11CD">
        <w:rPr>
          <w:lang w:val="bg-BG"/>
        </w:rPr>
        <w:t>е</w:t>
      </w:r>
      <w:r w:rsidR="005930A4" w:rsidRPr="001D11CD">
        <w:rPr>
          <w:lang w:val="bg-BG"/>
        </w:rPr>
        <w:t xml:space="preserve"> </w:t>
      </w:r>
      <w:r w:rsidR="00E47FD5" w:rsidRPr="001D11CD">
        <w:rPr>
          <w:lang w:val="bg-BG"/>
        </w:rPr>
        <w:t xml:space="preserve">е в състояние да </w:t>
      </w:r>
      <w:r w:rsidR="005930A4" w:rsidRPr="001D11CD">
        <w:rPr>
          <w:lang w:val="bg-BG"/>
        </w:rPr>
        <w:t>компенс</w:t>
      </w:r>
      <w:r w:rsidR="00E47FD5" w:rsidRPr="001D11CD">
        <w:rPr>
          <w:lang w:val="bg-BG"/>
        </w:rPr>
        <w:t>ира</w:t>
      </w:r>
      <w:r w:rsidR="005930A4" w:rsidRPr="001D11CD">
        <w:rPr>
          <w:lang w:val="bg-BG"/>
        </w:rPr>
        <w:t xml:space="preserve"> (</w:t>
      </w:r>
      <w:proofErr w:type="spellStart"/>
      <w:r w:rsidR="005930A4" w:rsidRPr="001D11CD">
        <w:rPr>
          <w:i/>
          <w:lang w:val="bg-BG"/>
        </w:rPr>
        <w:t>Шукран</w:t>
      </w:r>
      <w:proofErr w:type="spellEnd"/>
      <w:r w:rsidR="005930A4" w:rsidRPr="001D11CD">
        <w:rPr>
          <w:i/>
          <w:lang w:val="bg-BG"/>
        </w:rPr>
        <w:t xml:space="preserve"> Айдън и други</w:t>
      </w:r>
      <w:r w:rsidR="005930A4" w:rsidRPr="001D11CD">
        <w:rPr>
          <w:lang w:val="bg-BG"/>
        </w:rPr>
        <w:t>, горецитирано, §</w:t>
      </w:r>
      <w:r w:rsidR="001D11CD" w:rsidRPr="001D11CD">
        <w:rPr>
          <w:lang w:val="bg-BG"/>
        </w:rPr>
        <w:t> </w:t>
      </w:r>
      <w:r w:rsidR="005930A4" w:rsidRPr="001D11CD">
        <w:rPr>
          <w:lang w:val="bg-BG"/>
        </w:rPr>
        <w:t xml:space="preserve">73). Като има предвид обстоятелствата по </w:t>
      </w:r>
      <w:r w:rsidR="00E47FD5" w:rsidRPr="001D11CD">
        <w:rPr>
          <w:lang w:val="bg-BG"/>
        </w:rPr>
        <w:t>делото</w:t>
      </w:r>
      <w:r w:rsidR="005930A4" w:rsidRPr="001D11CD">
        <w:rPr>
          <w:lang w:val="bg-BG"/>
        </w:rPr>
        <w:t xml:space="preserve"> и </w:t>
      </w:r>
      <w:r w:rsidR="00E47FD5" w:rsidRPr="001D11CD">
        <w:rPr>
          <w:lang w:val="bg-BG"/>
        </w:rPr>
        <w:t xml:space="preserve">собствената си </w:t>
      </w:r>
      <w:r w:rsidR="005930A4" w:rsidRPr="001D11CD">
        <w:rPr>
          <w:lang w:val="bg-BG"/>
        </w:rPr>
        <w:t>съдебна практика по въпроса, Съ</w:t>
      </w:r>
      <w:r w:rsidR="001D11CD" w:rsidRPr="001D11CD">
        <w:rPr>
          <w:lang w:val="bg-BG"/>
        </w:rPr>
        <w:t>дът присъжда на жалбоподателя 1</w:t>
      </w:r>
      <w:r w:rsidR="005930A4" w:rsidRPr="001D11CD">
        <w:rPr>
          <w:lang w:val="bg-BG"/>
        </w:rPr>
        <w:t>200</w:t>
      </w:r>
      <w:r w:rsidR="001D11CD" w:rsidRPr="001D11CD">
        <w:rPr>
          <w:lang w:val="bg-BG"/>
        </w:rPr>
        <w:t> </w:t>
      </w:r>
      <w:r w:rsidR="005930A4" w:rsidRPr="001D11CD">
        <w:rPr>
          <w:lang w:val="bg-BG"/>
        </w:rPr>
        <w:t xml:space="preserve">EUR за морални вреди, </w:t>
      </w:r>
      <w:r w:rsidR="00467C75" w:rsidRPr="001D11CD">
        <w:rPr>
          <w:lang w:val="bg-BG"/>
        </w:rPr>
        <w:t>плюс всички данъци, евентуално дължими върху</w:t>
      </w:r>
      <w:r w:rsidRPr="001D11CD">
        <w:rPr>
          <w:lang w:val="bg-BG"/>
        </w:rPr>
        <w:t xml:space="preserve"> </w:t>
      </w:r>
      <w:r w:rsidR="00E47FD5" w:rsidRPr="001D11CD">
        <w:rPr>
          <w:lang w:val="bg-BG"/>
        </w:rPr>
        <w:t>тази сума.</w:t>
      </w:r>
    </w:p>
    <w:p w14:paraId="0CE1F18F" w14:textId="7FAF6C08" w:rsidR="000B760F" w:rsidRPr="001D11CD" w:rsidRDefault="00E47FD5" w:rsidP="000B760F">
      <w:pPr>
        <w:pStyle w:val="JuHA"/>
        <w:rPr>
          <w:lang w:val="bg-BG"/>
        </w:rPr>
      </w:pPr>
      <w:r w:rsidRPr="001D11CD">
        <w:rPr>
          <w:lang w:val="bg-BG"/>
        </w:rPr>
        <w:t>Съдебни разноски</w:t>
      </w:r>
    </w:p>
    <w:p w14:paraId="4509613E" w14:textId="0B9B0489" w:rsidR="00832291"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72</w:t>
      </w:r>
      <w:r w:rsidRPr="001D11CD">
        <w:rPr>
          <w:lang w:val="bg-BG"/>
        </w:rPr>
        <w:fldChar w:fldCharType="end"/>
      </w:r>
      <w:r w:rsidRPr="001D11CD">
        <w:rPr>
          <w:lang w:val="bg-BG"/>
        </w:rPr>
        <w:t>.  </w:t>
      </w:r>
      <w:r w:rsidR="000C7FEC" w:rsidRPr="001D11CD">
        <w:rPr>
          <w:lang w:val="bg-BG"/>
        </w:rPr>
        <w:t>Жалбоподателят</w:t>
      </w:r>
      <w:r w:rsidRPr="001D11CD">
        <w:rPr>
          <w:lang w:val="bg-BG"/>
        </w:rPr>
        <w:t xml:space="preserve"> </w:t>
      </w:r>
      <w:r w:rsidR="00E47FD5" w:rsidRPr="001D11CD">
        <w:rPr>
          <w:lang w:val="bg-BG"/>
        </w:rPr>
        <w:t>претендира за сумата от 4500</w:t>
      </w:r>
      <w:r w:rsidR="001D11CD" w:rsidRPr="001D11CD">
        <w:rPr>
          <w:lang w:val="bg-BG"/>
        </w:rPr>
        <w:t> </w:t>
      </w:r>
      <w:r w:rsidR="00E47FD5" w:rsidRPr="001D11CD">
        <w:rPr>
          <w:lang w:val="bg-BG"/>
        </w:rPr>
        <w:t>EUR за съдебни разноски, които заявява, че е направил в рамките на производството пред Съда, по-специално за осигуряване на представ</w:t>
      </w:r>
      <w:r w:rsidR="00CF05BC">
        <w:rPr>
          <w:lang w:val="bg-BG"/>
        </w:rPr>
        <w:t>л</w:t>
      </w:r>
      <w:r w:rsidR="00E47FD5" w:rsidRPr="001D11CD">
        <w:rPr>
          <w:lang w:val="bg-BG"/>
        </w:rPr>
        <w:t>я</w:t>
      </w:r>
      <w:r w:rsidR="00CF05BC">
        <w:rPr>
          <w:lang w:val="bg-BG"/>
        </w:rPr>
        <w:t>ва</w:t>
      </w:r>
      <w:r w:rsidR="00E47FD5" w:rsidRPr="001D11CD">
        <w:rPr>
          <w:lang w:val="bg-BG"/>
        </w:rPr>
        <w:t xml:space="preserve">нето му. Той моли </w:t>
      </w:r>
      <w:r w:rsidR="00832291" w:rsidRPr="001D11CD">
        <w:rPr>
          <w:lang w:val="bg-BG"/>
        </w:rPr>
        <w:t xml:space="preserve">също така евентуално присъдената </w:t>
      </w:r>
      <w:r w:rsidR="00CF05BC" w:rsidRPr="001D11CD">
        <w:rPr>
          <w:lang w:val="bg-BG"/>
        </w:rPr>
        <w:t xml:space="preserve">от Съда </w:t>
      </w:r>
      <w:r w:rsidR="00832291" w:rsidRPr="001D11CD">
        <w:rPr>
          <w:lang w:val="bg-BG"/>
        </w:rPr>
        <w:t>с</w:t>
      </w:r>
      <w:r w:rsidR="00E47FD5" w:rsidRPr="001D11CD">
        <w:rPr>
          <w:lang w:val="bg-BG"/>
        </w:rPr>
        <w:t>ума да бъде преведена директно по банковата сметка на Българския хелзинкски комитет.</w:t>
      </w:r>
    </w:p>
    <w:p w14:paraId="41830B5E" w14:textId="405217CD" w:rsidR="000B760F" w:rsidRPr="001D11CD" w:rsidRDefault="000B760F" w:rsidP="000B760F">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73</w:t>
      </w:r>
      <w:r w:rsidRPr="001D11CD">
        <w:rPr>
          <w:lang w:val="bg-BG"/>
        </w:rPr>
        <w:fldChar w:fldCharType="end"/>
      </w:r>
      <w:r w:rsidRPr="001D11CD">
        <w:rPr>
          <w:lang w:val="bg-BG"/>
        </w:rPr>
        <w:t>.  </w:t>
      </w:r>
      <w:r w:rsidR="00156A3C" w:rsidRPr="001D11CD">
        <w:rPr>
          <w:lang w:val="bg-BG"/>
        </w:rPr>
        <w:t>Правителство</w:t>
      </w:r>
      <w:r w:rsidRPr="001D11CD">
        <w:rPr>
          <w:lang w:val="bg-BG"/>
        </w:rPr>
        <w:t xml:space="preserve"> </w:t>
      </w:r>
      <w:r w:rsidR="00D642D8" w:rsidRPr="001D11CD">
        <w:rPr>
          <w:lang w:val="bg-BG"/>
        </w:rPr>
        <w:t>счита</w:t>
      </w:r>
      <w:r w:rsidRPr="001D11CD">
        <w:rPr>
          <w:lang w:val="bg-BG"/>
        </w:rPr>
        <w:t xml:space="preserve"> </w:t>
      </w:r>
      <w:r w:rsidR="00832291" w:rsidRPr="001D11CD">
        <w:rPr>
          <w:lang w:val="bg-BG"/>
        </w:rPr>
        <w:t>въпросните претенции за прекомерни</w:t>
      </w:r>
      <w:r w:rsidRPr="001D11CD">
        <w:rPr>
          <w:lang w:val="bg-BG"/>
        </w:rPr>
        <w:t>.</w:t>
      </w:r>
    </w:p>
    <w:p w14:paraId="5B57E35F" w14:textId="74945F86" w:rsidR="000B760F" w:rsidRPr="001D11CD" w:rsidRDefault="000B760F" w:rsidP="002B1BCB">
      <w:pPr>
        <w:pStyle w:val="JuPara"/>
        <w:rPr>
          <w:lang w:val="bg-BG"/>
        </w:rPr>
      </w:pPr>
      <w:r w:rsidRPr="001D11CD">
        <w:rPr>
          <w:lang w:val="bg-BG"/>
        </w:rPr>
        <w:fldChar w:fldCharType="begin"/>
      </w:r>
      <w:r w:rsidRPr="001D11CD">
        <w:rPr>
          <w:lang w:val="bg-BG"/>
        </w:rPr>
        <w:instrText xml:space="preserve"> SEQ level0 \*arabic </w:instrText>
      </w:r>
      <w:r w:rsidRPr="001D11CD">
        <w:rPr>
          <w:lang w:val="bg-BG"/>
        </w:rPr>
        <w:fldChar w:fldCharType="separate"/>
      </w:r>
      <w:r w:rsidRPr="001D11CD">
        <w:rPr>
          <w:lang w:val="bg-BG"/>
        </w:rPr>
        <w:t>74</w:t>
      </w:r>
      <w:r w:rsidRPr="001D11CD">
        <w:rPr>
          <w:lang w:val="bg-BG"/>
        </w:rPr>
        <w:fldChar w:fldCharType="end"/>
      </w:r>
      <w:r w:rsidRPr="001D11CD">
        <w:rPr>
          <w:lang w:val="bg-BG"/>
        </w:rPr>
        <w:t>.  </w:t>
      </w:r>
      <w:r w:rsidR="002B1BCB" w:rsidRPr="001D11CD">
        <w:rPr>
          <w:lang w:val="bg-BG"/>
        </w:rPr>
        <w:t>Съгласно практиката на Съда всеки жалбоподател има право на възстановяване на разноските само дотолкова, доколкото е доказал, че те са понесени действително и са необходими и разумни по своя размер. В случая и като има предвид документите, с които разполага, и горепосочените критерии, Съдът счита за разумно да присъди на жалбоподателя сумата от 3200</w:t>
      </w:r>
      <w:r w:rsidR="001D11CD" w:rsidRPr="001D11CD">
        <w:rPr>
          <w:lang w:val="bg-BG"/>
        </w:rPr>
        <w:t> </w:t>
      </w:r>
      <w:r w:rsidR="002B1BCB" w:rsidRPr="001D11CD">
        <w:rPr>
          <w:lang w:val="bg-BG"/>
        </w:rPr>
        <w:t xml:space="preserve">EUR, която да бъде директно преведена по сметката на Българския </w:t>
      </w:r>
      <w:r w:rsidR="00393C2A" w:rsidRPr="001D11CD">
        <w:rPr>
          <w:lang w:val="bg-BG"/>
        </w:rPr>
        <w:t>х</w:t>
      </w:r>
      <w:r w:rsidR="002B1BCB" w:rsidRPr="001D11CD">
        <w:rPr>
          <w:lang w:val="bg-BG"/>
        </w:rPr>
        <w:t xml:space="preserve">елзинкски комитет, </w:t>
      </w:r>
      <w:r w:rsidR="00C311F0" w:rsidRPr="001D11CD">
        <w:rPr>
          <w:lang w:val="bg-BG"/>
        </w:rPr>
        <w:t>за съдебни разноски</w:t>
      </w:r>
      <w:r w:rsidR="002B1BCB" w:rsidRPr="001D11CD">
        <w:rPr>
          <w:lang w:val="bg-BG"/>
        </w:rPr>
        <w:t xml:space="preserve">, направени </w:t>
      </w:r>
      <w:r w:rsidR="00BF72F1" w:rsidRPr="001D11CD">
        <w:rPr>
          <w:lang w:val="bg-BG"/>
        </w:rPr>
        <w:t>в рамките на</w:t>
      </w:r>
      <w:r w:rsidRPr="001D11CD">
        <w:rPr>
          <w:lang w:val="bg-BG"/>
        </w:rPr>
        <w:t xml:space="preserve"> </w:t>
      </w:r>
      <w:r w:rsidR="00A25623" w:rsidRPr="001D11CD">
        <w:rPr>
          <w:lang w:val="bg-BG"/>
        </w:rPr>
        <w:t>производство</w:t>
      </w:r>
      <w:r w:rsidRPr="001D11CD">
        <w:rPr>
          <w:lang w:val="bg-BG"/>
        </w:rPr>
        <w:t xml:space="preserve"> </w:t>
      </w:r>
      <w:r w:rsidR="002B1BCB" w:rsidRPr="001D11CD">
        <w:rPr>
          <w:lang w:val="bg-BG"/>
        </w:rPr>
        <w:t>пред Съда</w:t>
      </w:r>
      <w:r w:rsidRPr="001D11CD">
        <w:rPr>
          <w:lang w:val="bg-BG"/>
        </w:rPr>
        <w:t xml:space="preserve">, </w:t>
      </w:r>
      <w:r w:rsidR="00467C75" w:rsidRPr="001D11CD">
        <w:rPr>
          <w:lang w:val="bg-BG"/>
        </w:rPr>
        <w:t>плюс всички данъци, евентуално дължими върху</w:t>
      </w:r>
      <w:r w:rsidRPr="001D11CD">
        <w:rPr>
          <w:lang w:val="bg-BG"/>
        </w:rPr>
        <w:t xml:space="preserve"> </w:t>
      </w:r>
      <w:r w:rsidR="002B1BCB" w:rsidRPr="001D11CD">
        <w:rPr>
          <w:lang w:val="bg-BG"/>
        </w:rPr>
        <w:t>тази сума</w:t>
      </w:r>
      <w:r w:rsidRPr="001D11CD">
        <w:rPr>
          <w:lang w:val="bg-BG"/>
        </w:rPr>
        <w:t xml:space="preserve"> (</w:t>
      </w:r>
      <w:r w:rsidR="00DA1849" w:rsidRPr="001D11CD">
        <w:rPr>
          <w:lang w:val="bg-BG"/>
        </w:rPr>
        <w:t>вж</w:t>
      </w:r>
      <w:r w:rsidR="001D11CD" w:rsidRPr="001D11CD">
        <w:rPr>
          <w:lang w:val="bg-BG"/>
        </w:rPr>
        <w:t>.</w:t>
      </w:r>
      <w:r w:rsidRPr="001D11CD">
        <w:rPr>
          <w:lang w:val="bg-BG"/>
        </w:rPr>
        <w:t xml:space="preserve"> </w:t>
      </w:r>
      <w:proofErr w:type="spellStart"/>
      <w:r w:rsidRPr="001D11CD">
        <w:rPr>
          <w:i/>
          <w:iCs/>
          <w:lang w:val="bg-BG"/>
        </w:rPr>
        <w:t>mutatis</w:t>
      </w:r>
      <w:proofErr w:type="spellEnd"/>
      <w:r w:rsidRPr="001D11CD">
        <w:rPr>
          <w:i/>
          <w:iCs/>
          <w:lang w:val="bg-BG"/>
        </w:rPr>
        <w:t xml:space="preserve"> </w:t>
      </w:r>
      <w:proofErr w:type="spellStart"/>
      <w:r w:rsidRPr="001D11CD">
        <w:rPr>
          <w:i/>
          <w:iCs/>
          <w:lang w:val="bg-BG"/>
        </w:rPr>
        <w:t>mutandis</w:t>
      </w:r>
      <w:proofErr w:type="spellEnd"/>
      <w:r w:rsidRPr="001D11CD">
        <w:rPr>
          <w:lang w:val="bg-BG"/>
        </w:rPr>
        <w:t xml:space="preserve">, </w:t>
      </w:r>
      <w:proofErr w:type="spellStart"/>
      <w:r w:rsidR="002B1BCB" w:rsidRPr="001D11CD">
        <w:rPr>
          <w:i/>
          <w:lang w:val="bg-BG"/>
        </w:rPr>
        <w:t>Хла</w:t>
      </w:r>
      <w:r w:rsidR="00393C2A" w:rsidRPr="001D11CD">
        <w:rPr>
          <w:i/>
          <w:lang w:val="bg-BG"/>
        </w:rPr>
        <w:t>й</w:t>
      </w:r>
      <w:r w:rsidR="002B1BCB" w:rsidRPr="001D11CD">
        <w:rPr>
          <w:i/>
          <w:lang w:val="bg-BG"/>
        </w:rPr>
        <w:t>фия</w:t>
      </w:r>
      <w:proofErr w:type="spellEnd"/>
      <w:r w:rsidRPr="001D11CD">
        <w:rPr>
          <w:i/>
          <w:lang w:val="bg-BG"/>
        </w:rPr>
        <w:t xml:space="preserve"> и други </w:t>
      </w:r>
      <w:r w:rsidR="002B1BCB" w:rsidRPr="001D11CD">
        <w:rPr>
          <w:i/>
          <w:lang w:val="bg-BG"/>
        </w:rPr>
        <w:t>срещу Италия (</w:t>
      </w:r>
      <w:proofErr w:type="spellStart"/>
      <w:r w:rsidR="002B1BCB" w:rsidRPr="001D11CD">
        <w:rPr>
          <w:i/>
          <w:lang w:val="bg-BG"/>
        </w:rPr>
        <w:t>Khlaifi</w:t>
      </w:r>
      <w:r w:rsidR="00393C2A" w:rsidRPr="001D11CD">
        <w:rPr>
          <w:i/>
          <w:lang w:val="bg-BG"/>
        </w:rPr>
        <w:t>a</w:t>
      </w:r>
      <w:proofErr w:type="spellEnd"/>
      <w:r w:rsidR="00393C2A" w:rsidRPr="001D11CD">
        <w:rPr>
          <w:i/>
          <w:lang w:val="bg-BG"/>
        </w:rPr>
        <w:t xml:space="preserve"> </w:t>
      </w:r>
      <w:proofErr w:type="spellStart"/>
      <w:r w:rsidR="002B1BCB" w:rsidRPr="001D11CD">
        <w:rPr>
          <w:i/>
          <w:lang w:val="bg-BG"/>
        </w:rPr>
        <w:t>et</w:t>
      </w:r>
      <w:proofErr w:type="spellEnd"/>
      <w:r w:rsidR="002B1BCB" w:rsidRPr="001D11CD">
        <w:rPr>
          <w:i/>
          <w:lang w:val="bg-BG"/>
        </w:rPr>
        <w:t xml:space="preserve"> </w:t>
      </w:r>
      <w:proofErr w:type="spellStart"/>
      <w:r w:rsidR="002B1BCB" w:rsidRPr="001D11CD">
        <w:rPr>
          <w:i/>
          <w:lang w:val="bg-BG"/>
        </w:rPr>
        <w:t>autres</w:t>
      </w:r>
      <w:proofErr w:type="spellEnd"/>
      <w:r w:rsidR="002B1BCB" w:rsidRPr="001D11CD">
        <w:rPr>
          <w:i/>
          <w:lang w:val="bg-BG"/>
        </w:rPr>
        <w:t xml:space="preserve"> </w:t>
      </w:r>
      <w:r w:rsidRPr="001D11CD">
        <w:rPr>
          <w:i/>
          <w:lang w:val="bg-BG"/>
        </w:rPr>
        <w:t xml:space="preserve">c. </w:t>
      </w:r>
      <w:proofErr w:type="spellStart"/>
      <w:r w:rsidR="002B1BCB" w:rsidRPr="001D11CD">
        <w:rPr>
          <w:i/>
          <w:lang w:val="bg-BG"/>
        </w:rPr>
        <w:t>Italie</w:t>
      </w:r>
      <w:proofErr w:type="spellEnd"/>
      <w:r w:rsidR="002B1BCB" w:rsidRPr="001D11CD">
        <w:rPr>
          <w:i/>
          <w:lang w:val="bg-BG"/>
        </w:rPr>
        <w:t>)</w:t>
      </w:r>
      <w:r w:rsidRPr="001D11CD">
        <w:rPr>
          <w:lang w:val="bg-BG"/>
        </w:rPr>
        <w:t xml:space="preserve"> [</w:t>
      </w:r>
      <w:r w:rsidR="00180250" w:rsidRPr="001D11CD">
        <w:rPr>
          <w:lang w:val="bg-BG"/>
        </w:rPr>
        <w:t>ГК</w:t>
      </w:r>
      <w:r w:rsidRPr="001D11CD">
        <w:rPr>
          <w:lang w:val="bg-BG"/>
        </w:rPr>
        <w:t xml:space="preserve">], </w:t>
      </w:r>
      <w:r w:rsidR="000C6E15" w:rsidRPr="001D11CD">
        <w:rPr>
          <w:lang w:val="bg-BG"/>
        </w:rPr>
        <w:t>№ 1</w:t>
      </w:r>
      <w:r w:rsidRPr="001D11CD">
        <w:rPr>
          <w:lang w:val="bg-BG"/>
        </w:rPr>
        <w:t>6483/12, § 288, 15 </w:t>
      </w:r>
      <w:r w:rsidR="00BF72F1" w:rsidRPr="001D11CD">
        <w:rPr>
          <w:lang w:val="bg-BG"/>
        </w:rPr>
        <w:t>декември</w:t>
      </w:r>
      <w:r w:rsidRPr="001D11CD">
        <w:rPr>
          <w:lang w:val="bg-BG"/>
        </w:rPr>
        <w:t xml:space="preserve"> 2016</w:t>
      </w:r>
      <w:r w:rsidR="001D11CD" w:rsidRPr="001D11CD">
        <w:rPr>
          <w:lang w:val="bg-BG"/>
        </w:rPr>
        <w:t> г.</w:t>
      </w:r>
      <w:r w:rsidRPr="001D11CD">
        <w:rPr>
          <w:lang w:val="bg-BG"/>
        </w:rPr>
        <w:t>).</w:t>
      </w:r>
    </w:p>
    <w:p w14:paraId="55BAA5A0" w14:textId="0628D6BF" w:rsidR="000B760F" w:rsidRPr="001D11CD" w:rsidRDefault="00911C89" w:rsidP="000B760F">
      <w:pPr>
        <w:pStyle w:val="JuHHead"/>
        <w:rPr>
          <w:lang w:val="bg-BG"/>
        </w:rPr>
      </w:pPr>
      <w:r w:rsidRPr="001D11CD">
        <w:rPr>
          <w:lang w:val="bg-BG"/>
        </w:rPr>
        <w:t>ПО ТЕЗИ СЪОБРАЖЕНИЯ</w:t>
      </w:r>
      <w:r w:rsidR="000B760F" w:rsidRPr="001D11CD">
        <w:rPr>
          <w:lang w:val="bg-BG"/>
        </w:rPr>
        <w:t xml:space="preserve"> </w:t>
      </w:r>
      <w:r w:rsidR="007D33E1" w:rsidRPr="001D11CD">
        <w:rPr>
          <w:lang w:val="bg-BG"/>
        </w:rPr>
        <w:t>СЪДЪТ</w:t>
      </w:r>
      <w:r w:rsidR="000B760F" w:rsidRPr="001D11CD">
        <w:rPr>
          <w:lang w:val="bg-BG"/>
        </w:rPr>
        <w:t xml:space="preserve">, </w:t>
      </w:r>
      <w:r w:rsidRPr="001D11CD">
        <w:rPr>
          <w:lang w:val="bg-BG"/>
        </w:rPr>
        <w:t>ЕДИНОДУШНО</w:t>
      </w:r>
    </w:p>
    <w:p w14:paraId="7470DD76" w14:textId="6E7426E1" w:rsidR="000B760F" w:rsidRPr="001D11CD" w:rsidRDefault="00467C75" w:rsidP="000B760F">
      <w:pPr>
        <w:pStyle w:val="JuList"/>
        <w:numPr>
          <w:ilvl w:val="0"/>
          <w:numId w:val="19"/>
        </w:numPr>
        <w:rPr>
          <w:lang w:val="bg-BG"/>
        </w:rPr>
      </w:pPr>
      <w:r w:rsidRPr="001D11CD">
        <w:rPr>
          <w:i/>
          <w:lang w:val="bg-BG"/>
        </w:rPr>
        <w:t>Обявява</w:t>
      </w:r>
      <w:r w:rsidR="000B760F" w:rsidRPr="001D11CD">
        <w:rPr>
          <w:i/>
          <w:lang w:val="bg-BG"/>
        </w:rPr>
        <w:t xml:space="preserve"> </w:t>
      </w:r>
      <w:r w:rsidR="002B1BCB" w:rsidRPr="001D11CD">
        <w:rPr>
          <w:lang w:val="bg-BG"/>
        </w:rPr>
        <w:t>оплакването по</w:t>
      </w:r>
      <w:r w:rsidR="000B760F" w:rsidRPr="001D11CD">
        <w:rPr>
          <w:lang w:val="bg-BG"/>
        </w:rPr>
        <w:t xml:space="preserve"> </w:t>
      </w:r>
      <w:r w:rsidR="001A14B1" w:rsidRPr="001D11CD">
        <w:rPr>
          <w:lang w:val="bg-BG"/>
        </w:rPr>
        <w:t>член</w:t>
      </w:r>
      <w:r w:rsidR="000B760F" w:rsidRPr="001D11CD">
        <w:rPr>
          <w:lang w:val="bg-BG"/>
        </w:rPr>
        <w:t xml:space="preserve"> 10 </w:t>
      </w:r>
      <w:r w:rsidR="002B1BCB" w:rsidRPr="001D11CD">
        <w:rPr>
          <w:lang w:val="bg-BG"/>
        </w:rPr>
        <w:t>за допустимо</w:t>
      </w:r>
      <w:r w:rsidR="000B760F" w:rsidRPr="001D11CD">
        <w:rPr>
          <w:lang w:val="bg-BG"/>
        </w:rPr>
        <w:t>;</w:t>
      </w:r>
    </w:p>
    <w:p w14:paraId="28ECFF1D" w14:textId="5509B098" w:rsidR="000B760F" w:rsidRPr="001D11CD" w:rsidRDefault="002B1BCB" w:rsidP="000B760F">
      <w:pPr>
        <w:pStyle w:val="JuList"/>
        <w:numPr>
          <w:ilvl w:val="0"/>
          <w:numId w:val="19"/>
        </w:numPr>
        <w:rPr>
          <w:lang w:val="bg-BG"/>
        </w:rPr>
      </w:pPr>
      <w:r w:rsidRPr="001D11CD">
        <w:rPr>
          <w:i/>
          <w:lang w:val="bg-BG"/>
        </w:rPr>
        <w:t xml:space="preserve">Постановява, </w:t>
      </w:r>
      <w:r w:rsidRPr="001D11CD">
        <w:rPr>
          <w:lang w:val="bg-BG"/>
        </w:rPr>
        <w:t>че</w:t>
      </w:r>
      <w:r w:rsidR="000B760F" w:rsidRPr="001D11CD">
        <w:rPr>
          <w:lang w:val="bg-BG"/>
        </w:rPr>
        <w:t xml:space="preserve"> </w:t>
      </w:r>
      <w:r w:rsidRPr="001D11CD">
        <w:rPr>
          <w:lang w:val="bg-BG"/>
        </w:rPr>
        <w:t xml:space="preserve">е </w:t>
      </w:r>
      <w:r w:rsidR="000611E8" w:rsidRPr="001D11CD">
        <w:rPr>
          <w:lang w:val="bg-BG"/>
        </w:rPr>
        <w:t xml:space="preserve">налице </w:t>
      </w:r>
      <w:r w:rsidR="00D177F2" w:rsidRPr="001D11CD">
        <w:rPr>
          <w:lang w:val="bg-BG"/>
        </w:rPr>
        <w:t>нарушение на</w:t>
      </w:r>
      <w:r w:rsidR="000B760F" w:rsidRPr="001D11CD">
        <w:rPr>
          <w:lang w:val="bg-BG"/>
        </w:rPr>
        <w:t xml:space="preserve"> </w:t>
      </w:r>
      <w:r w:rsidR="001A14B1" w:rsidRPr="001D11CD">
        <w:rPr>
          <w:lang w:val="bg-BG"/>
        </w:rPr>
        <w:t>член</w:t>
      </w:r>
      <w:r w:rsidR="000B760F" w:rsidRPr="001D11CD">
        <w:rPr>
          <w:lang w:val="bg-BG"/>
        </w:rPr>
        <w:t xml:space="preserve"> 10 </w:t>
      </w:r>
      <w:r w:rsidRPr="001D11CD">
        <w:rPr>
          <w:lang w:val="bg-BG"/>
        </w:rPr>
        <w:t>от</w:t>
      </w:r>
      <w:r w:rsidR="000B760F" w:rsidRPr="001D11CD">
        <w:rPr>
          <w:lang w:val="bg-BG"/>
        </w:rPr>
        <w:t xml:space="preserve"> </w:t>
      </w:r>
      <w:r w:rsidR="00156A3C" w:rsidRPr="001D11CD">
        <w:rPr>
          <w:lang w:val="bg-BG"/>
        </w:rPr>
        <w:t>Конвенцията</w:t>
      </w:r>
      <w:r w:rsidR="000B760F" w:rsidRPr="001D11CD">
        <w:rPr>
          <w:lang w:val="bg-BG"/>
        </w:rPr>
        <w:t>;</w:t>
      </w:r>
    </w:p>
    <w:p w14:paraId="2703D022" w14:textId="7CC51A5E" w:rsidR="000B760F" w:rsidRPr="001D11CD" w:rsidRDefault="002B1BCB" w:rsidP="000B760F">
      <w:pPr>
        <w:pStyle w:val="JuList"/>
        <w:numPr>
          <w:ilvl w:val="0"/>
          <w:numId w:val="19"/>
        </w:numPr>
        <w:rPr>
          <w:lang w:val="bg-BG"/>
        </w:rPr>
      </w:pPr>
      <w:r w:rsidRPr="001D11CD">
        <w:rPr>
          <w:i/>
          <w:lang w:val="bg-BG"/>
        </w:rPr>
        <w:t>Постановява,</w:t>
      </w:r>
      <w:r w:rsidR="000B760F" w:rsidRPr="001D11CD">
        <w:rPr>
          <w:lang w:val="bg-BG"/>
        </w:rPr>
        <w:t xml:space="preserve"> </w:t>
      </w:r>
      <w:r w:rsidRPr="001D11CD">
        <w:rPr>
          <w:lang w:val="bg-BG"/>
        </w:rPr>
        <w:t xml:space="preserve">че не е необходимо да разглежда </w:t>
      </w:r>
      <w:r w:rsidR="00CF05BC">
        <w:rPr>
          <w:lang w:val="bg-BG"/>
        </w:rPr>
        <w:t xml:space="preserve">по </w:t>
      </w:r>
      <w:r w:rsidRPr="001D11CD">
        <w:rPr>
          <w:lang w:val="bg-BG"/>
        </w:rPr>
        <w:t xml:space="preserve">допустимост и по същество оплакванията, формулирани </w:t>
      </w:r>
      <w:r w:rsidR="00A25623" w:rsidRPr="001D11CD">
        <w:rPr>
          <w:lang w:val="bg-BG"/>
        </w:rPr>
        <w:t>на плоскостта на</w:t>
      </w:r>
      <w:r w:rsidRPr="001D11CD">
        <w:rPr>
          <w:lang w:val="bg-BG"/>
        </w:rPr>
        <w:t xml:space="preserve"> </w:t>
      </w:r>
      <w:r w:rsidR="001A14B1" w:rsidRPr="001D11CD">
        <w:rPr>
          <w:lang w:val="bg-BG"/>
        </w:rPr>
        <w:t>член</w:t>
      </w:r>
      <w:r w:rsidR="000B760F" w:rsidRPr="001D11CD">
        <w:rPr>
          <w:lang w:val="bg-BG"/>
        </w:rPr>
        <w:t xml:space="preserve"> 10</w:t>
      </w:r>
      <w:r w:rsidRPr="001D11CD">
        <w:rPr>
          <w:lang w:val="bg-BG"/>
        </w:rPr>
        <w:t xml:space="preserve"> във връзка с</w:t>
      </w:r>
      <w:r w:rsidR="000B760F" w:rsidRPr="001D11CD">
        <w:rPr>
          <w:lang w:val="bg-BG"/>
        </w:rPr>
        <w:t xml:space="preserve"> </w:t>
      </w:r>
      <w:r w:rsidR="001A14B1" w:rsidRPr="001D11CD">
        <w:rPr>
          <w:lang w:val="bg-BG"/>
        </w:rPr>
        <w:t>член</w:t>
      </w:r>
      <w:r w:rsidRPr="001D11CD">
        <w:rPr>
          <w:lang w:val="bg-BG"/>
        </w:rPr>
        <w:t>ове</w:t>
      </w:r>
      <w:r w:rsidR="000B760F" w:rsidRPr="001D11CD">
        <w:rPr>
          <w:lang w:val="bg-BG"/>
        </w:rPr>
        <w:t xml:space="preserve"> 13 </w:t>
      </w:r>
      <w:r w:rsidR="00CF05BC">
        <w:rPr>
          <w:lang w:val="bg-BG"/>
        </w:rPr>
        <w:t>и</w:t>
      </w:r>
      <w:r w:rsidR="00CF05BC" w:rsidRPr="001D11CD">
        <w:rPr>
          <w:lang w:val="bg-BG"/>
        </w:rPr>
        <w:t xml:space="preserve"> </w:t>
      </w:r>
      <w:r w:rsidR="000B760F" w:rsidRPr="001D11CD">
        <w:rPr>
          <w:lang w:val="bg-BG"/>
        </w:rPr>
        <w:t xml:space="preserve">14 </w:t>
      </w:r>
      <w:r w:rsidRPr="001D11CD">
        <w:rPr>
          <w:lang w:val="bg-BG"/>
        </w:rPr>
        <w:t>от</w:t>
      </w:r>
      <w:r w:rsidR="000B760F" w:rsidRPr="001D11CD">
        <w:rPr>
          <w:lang w:val="bg-BG"/>
        </w:rPr>
        <w:t xml:space="preserve"> </w:t>
      </w:r>
      <w:r w:rsidR="00156A3C" w:rsidRPr="001D11CD">
        <w:rPr>
          <w:lang w:val="bg-BG"/>
        </w:rPr>
        <w:t>Конвенцията</w:t>
      </w:r>
      <w:r w:rsidR="000B760F" w:rsidRPr="001D11CD">
        <w:rPr>
          <w:lang w:val="bg-BG"/>
        </w:rPr>
        <w:t>;</w:t>
      </w:r>
    </w:p>
    <w:p w14:paraId="58545E99" w14:textId="0780F4FA" w:rsidR="000B760F" w:rsidRPr="001D11CD" w:rsidRDefault="002B1BCB" w:rsidP="000B760F">
      <w:pPr>
        <w:pStyle w:val="JuList"/>
        <w:numPr>
          <w:ilvl w:val="0"/>
          <w:numId w:val="19"/>
        </w:numPr>
        <w:rPr>
          <w:lang w:val="bg-BG"/>
        </w:rPr>
      </w:pPr>
      <w:r w:rsidRPr="001D11CD">
        <w:rPr>
          <w:i/>
          <w:lang w:val="bg-BG"/>
        </w:rPr>
        <w:t>Постановява,</w:t>
      </w:r>
    </w:p>
    <w:p w14:paraId="37BE00E7" w14:textId="55517468" w:rsidR="000B760F" w:rsidRPr="001D11CD" w:rsidRDefault="00467C75" w:rsidP="000B760F">
      <w:pPr>
        <w:pStyle w:val="JuLista"/>
        <w:numPr>
          <w:ilvl w:val="1"/>
          <w:numId w:val="19"/>
        </w:numPr>
        <w:rPr>
          <w:lang w:val="bg-BG"/>
        </w:rPr>
      </w:pPr>
      <w:r w:rsidRPr="001D11CD">
        <w:rPr>
          <w:lang w:val="bg-BG"/>
        </w:rPr>
        <w:t>че държавата ответник</w:t>
      </w:r>
      <w:r w:rsidR="000B760F" w:rsidRPr="001D11CD">
        <w:rPr>
          <w:lang w:val="bg-BG"/>
        </w:rPr>
        <w:t xml:space="preserve"> </w:t>
      </w:r>
      <w:r w:rsidR="002B1BCB" w:rsidRPr="001D11CD">
        <w:rPr>
          <w:lang w:val="bg-BG"/>
        </w:rPr>
        <w:t>следва да заплати на</w:t>
      </w:r>
      <w:r w:rsidR="000B760F" w:rsidRPr="001D11CD">
        <w:rPr>
          <w:lang w:val="bg-BG"/>
        </w:rPr>
        <w:t xml:space="preserve"> </w:t>
      </w:r>
      <w:r w:rsidR="000C7FEC" w:rsidRPr="001D11CD">
        <w:rPr>
          <w:lang w:val="bg-BG"/>
        </w:rPr>
        <w:t>жалбоподателя</w:t>
      </w:r>
      <w:r w:rsidR="000B760F" w:rsidRPr="001D11CD">
        <w:rPr>
          <w:lang w:val="bg-BG"/>
        </w:rPr>
        <w:t xml:space="preserve"> </w:t>
      </w:r>
      <w:r w:rsidRPr="001D11CD">
        <w:rPr>
          <w:lang w:val="bg-BG"/>
        </w:rPr>
        <w:t>в тримесечен срок</w:t>
      </w:r>
      <w:r w:rsidR="000B760F" w:rsidRPr="001D11CD">
        <w:rPr>
          <w:lang w:val="bg-BG"/>
        </w:rPr>
        <w:t xml:space="preserve"> </w:t>
      </w:r>
      <w:r w:rsidR="003A065D" w:rsidRPr="001D11CD">
        <w:rPr>
          <w:lang w:val="bg-BG"/>
        </w:rPr>
        <w:t xml:space="preserve">от </w:t>
      </w:r>
      <w:r w:rsidR="00356D40" w:rsidRPr="001D11CD">
        <w:rPr>
          <w:lang w:val="bg-BG"/>
        </w:rPr>
        <w:t>датата на</w:t>
      </w:r>
      <w:r w:rsidR="000B760F" w:rsidRPr="001D11CD">
        <w:rPr>
          <w:lang w:val="bg-BG"/>
        </w:rPr>
        <w:t xml:space="preserve"> </w:t>
      </w:r>
      <w:r w:rsidR="003A065D" w:rsidRPr="001D11CD">
        <w:rPr>
          <w:lang w:val="bg-BG"/>
        </w:rPr>
        <w:t xml:space="preserve">влизане в сила на </w:t>
      </w:r>
      <w:r w:rsidR="00607AD8" w:rsidRPr="001D11CD">
        <w:rPr>
          <w:lang w:val="bg-BG"/>
        </w:rPr>
        <w:t>решение</w:t>
      </w:r>
      <w:r w:rsidR="003A065D" w:rsidRPr="001D11CD">
        <w:rPr>
          <w:lang w:val="bg-BG"/>
        </w:rPr>
        <w:t xml:space="preserve">то, съгласно </w:t>
      </w:r>
      <w:r w:rsidR="001A14B1" w:rsidRPr="001D11CD">
        <w:rPr>
          <w:lang w:val="bg-BG"/>
        </w:rPr>
        <w:t>член</w:t>
      </w:r>
      <w:r w:rsidR="000B760F" w:rsidRPr="001D11CD">
        <w:rPr>
          <w:lang w:val="bg-BG"/>
        </w:rPr>
        <w:t xml:space="preserve"> 44</w:t>
      </w:r>
      <w:r w:rsidR="001D11CD" w:rsidRPr="001D11CD">
        <w:rPr>
          <w:lang w:val="bg-BG"/>
        </w:rPr>
        <w:t>,</w:t>
      </w:r>
      <w:r w:rsidR="000B760F" w:rsidRPr="001D11CD">
        <w:rPr>
          <w:lang w:val="bg-BG"/>
        </w:rPr>
        <w:t xml:space="preserve"> § 2 </w:t>
      </w:r>
      <w:r w:rsidR="003A065D" w:rsidRPr="001D11CD">
        <w:rPr>
          <w:lang w:val="bg-BG"/>
        </w:rPr>
        <w:t>от</w:t>
      </w:r>
      <w:r w:rsidR="000B760F" w:rsidRPr="001D11CD">
        <w:rPr>
          <w:lang w:val="bg-BG"/>
        </w:rPr>
        <w:t xml:space="preserve"> </w:t>
      </w:r>
      <w:r w:rsidR="00156A3C" w:rsidRPr="001D11CD">
        <w:rPr>
          <w:lang w:val="bg-BG"/>
        </w:rPr>
        <w:t>Конвенцията</w:t>
      </w:r>
      <w:r w:rsidR="000B760F" w:rsidRPr="001D11CD">
        <w:rPr>
          <w:lang w:val="bg-BG"/>
        </w:rPr>
        <w:t xml:space="preserve">, </w:t>
      </w:r>
      <w:r w:rsidRPr="001D11CD">
        <w:rPr>
          <w:lang w:val="bg-BG"/>
        </w:rPr>
        <w:t>следните суми</w:t>
      </w:r>
      <w:r w:rsidR="000B760F" w:rsidRPr="001D11CD">
        <w:rPr>
          <w:lang w:val="bg-BG"/>
        </w:rPr>
        <w:t xml:space="preserve">, </w:t>
      </w:r>
      <w:r w:rsidRPr="001D11CD">
        <w:rPr>
          <w:lang w:val="bg-BG"/>
        </w:rPr>
        <w:t xml:space="preserve">които да бъдат </w:t>
      </w:r>
      <w:r w:rsidR="00CF05BC">
        <w:rPr>
          <w:lang w:val="bg-BG"/>
        </w:rPr>
        <w:t>конвертирани</w:t>
      </w:r>
      <w:r w:rsidR="00CF05BC" w:rsidRPr="001D11CD">
        <w:rPr>
          <w:lang w:val="bg-BG"/>
        </w:rPr>
        <w:t xml:space="preserve"> </w:t>
      </w:r>
      <w:r w:rsidRPr="001D11CD">
        <w:rPr>
          <w:lang w:val="bg-BG"/>
        </w:rPr>
        <w:t>във валутата на държавата ответник</w:t>
      </w:r>
      <w:r w:rsidR="000B760F" w:rsidRPr="001D11CD">
        <w:rPr>
          <w:b/>
          <w:lang w:val="bg-BG"/>
        </w:rPr>
        <w:t xml:space="preserve"> </w:t>
      </w:r>
      <w:r w:rsidRPr="001D11CD">
        <w:rPr>
          <w:lang w:val="bg-BG"/>
        </w:rPr>
        <w:t>по курса, приложим към датата на плащането</w:t>
      </w:r>
      <w:r w:rsidR="000B760F" w:rsidRPr="001D11CD">
        <w:rPr>
          <w:lang w:val="bg-BG"/>
        </w:rPr>
        <w:t>:</w:t>
      </w:r>
    </w:p>
    <w:p w14:paraId="0F357849" w14:textId="30EB9246" w:rsidR="000B760F" w:rsidRPr="001D11CD" w:rsidRDefault="001D11CD" w:rsidP="000B760F">
      <w:pPr>
        <w:pStyle w:val="JuListi"/>
        <w:numPr>
          <w:ilvl w:val="2"/>
          <w:numId w:val="19"/>
        </w:numPr>
        <w:rPr>
          <w:lang w:val="bg-BG"/>
        </w:rPr>
      </w:pPr>
      <w:r w:rsidRPr="001D11CD">
        <w:rPr>
          <w:lang w:val="bg-BG"/>
        </w:rPr>
        <w:t>1</w:t>
      </w:r>
      <w:r w:rsidR="000B760F" w:rsidRPr="001D11CD">
        <w:rPr>
          <w:lang w:val="bg-BG"/>
        </w:rPr>
        <w:t>200 EUR (</w:t>
      </w:r>
      <w:r w:rsidR="00467C75" w:rsidRPr="001D11CD">
        <w:rPr>
          <w:lang w:val="bg-BG"/>
        </w:rPr>
        <w:t>хиляди</w:t>
      </w:r>
      <w:r w:rsidR="000B760F" w:rsidRPr="001D11CD">
        <w:rPr>
          <w:lang w:val="bg-BG"/>
        </w:rPr>
        <w:t xml:space="preserve"> </w:t>
      </w:r>
      <w:r w:rsidR="003A065D" w:rsidRPr="001D11CD">
        <w:rPr>
          <w:lang w:val="bg-BG"/>
        </w:rPr>
        <w:t xml:space="preserve">и двеста </w:t>
      </w:r>
      <w:r w:rsidR="00C311F0" w:rsidRPr="001D11CD">
        <w:rPr>
          <w:lang w:val="bg-BG"/>
        </w:rPr>
        <w:t>евро</w:t>
      </w:r>
      <w:r w:rsidR="000B760F" w:rsidRPr="001D11CD">
        <w:rPr>
          <w:lang w:val="bg-BG"/>
        </w:rPr>
        <w:t xml:space="preserve">), </w:t>
      </w:r>
      <w:r w:rsidR="00467C75" w:rsidRPr="001D11CD">
        <w:rPr>
          <w:lang w:val="bg-BG"/>
        </w:rPr>
        <w:t>плюс всички данъци, евентуално дължими върху</w:t>
      </w:r>
      <w:r w:rsidR="000B760F" w:rsidRPr="001D11CD">
        <w:rPr>
          <w:lang w:val="bg-BG"/>
        </w:rPr>
        <w:t xml:space="preserve"> </w:t>
      </w:r>
      <w:r w:rsidR="003A065D" w:rsidRPr="001D11CD">
        <w:rPr>
          <w:lang w:val="bg-BG"/>
        </w:rPr>
        <w:t>тази сума</w:t>
      </w:r>
      <w:r w:rsidR="000B760F" w:rsidRPr="001D11CD">
        <w:rPr>
          <w:lang w:val="bg-BG"/>
        </w:rPr>
        <w:t xml:space="preserve">, </w:t>
      </w:r>
      <w:r w:rsidR="00AC1CF7" w:rsidRPr="001D11CD">
        <w:rPr>
          <w:lang w:val="bg-BG"/>
        </w:rPr>
        <w:t>за морални вреди</w:t>
      </w:r>
      <w:r w:rsidR="000B760F" w:rsidRPr="001D11CD">
        <w:rPr>
          <w:lang w:val="bg-BG"/>
        </w:rPr>
        <w:t>;</w:t>
      </w:r>
    </w:p>
    <w:p w14:paraId="11543E3F" w14:textId="647C690D" w:rsidR="000B760F" w:rsidRPr="001D11CD" w:rsidRDefault="000B760F" w:rsidP="000B760F">
      <w:pPr>
        <w:pStyle w:val="JuListi"/>
        <w:numPr>
          <w:ilvl w:val="2"/>
          <w:numId w:val="19"/>
        </w:numPr>
        <w:rPr>
          <w:lang w:val="bg-BG"/>
        </w:rPr>
      </w:pPr>
      <w:r w:rsidRPr="001D11CD">
        <w:rPr>
          <w:lang w:val="bg-BG"/>
        </w:rPr>
        <w:t>3200 EUR (</w:t>
      </w:r>
      <w:r w:rsidR="003A065D" w:rsidRPr="001D11CD">
        <w:rPr>
          <w:lang w:val="bg-BG"/>
        </w:rPr>
        <w:t>три</w:t>
      </w:r>
      <w:r w:rsidRPr="001D11CD">
        <w:rPr>
          <w:lang w:val="bg-BG"/>
        </w:rPr>
        <w:t xml:space="preserve"> </w:t>
      </w:r>
      <w:r w:rsidR="00467C75" w:rsidRPr="001D11CD">
        <w:rPr>
          <w:lang w:val="bg-BG"/>
        </w:rPr>
        <w:t>хиляди</w:t>
      </w:r>
      <w:r w:rsidRPr="001D11CD">
        <w:rPr>
          <w:lang w:val="bg-BG"/>
        </w:rPr>
        <w:t xml:space="preserve"> </w:t>
      </w:r>
      <w:r w:rsidR="003A065D" w:rsidRPr="001D11CD">
        <w:rPr>
          <w:lang w:val="bg-BG"/>
        </w:rPr>
        <w:t xml:space="preserve">и двеста </w:t>
      </w:r>
      <w:r w:rsidR="00C311F0" w:rsidRPr="001D11CD">
        <w:rPr>
          <w:lang w:val="bg-BG"/>
        </w:rPr>
        <w:t>евро</w:t>
      </w:r>
      <w:r w:rsidRPr="001D11CD">
        <w:rPr>
          <w:lang w:val="bg-BG"/>
        </w:rPr>
        <w:t xml:space="preserve">), </w:t>
      </w:r>
      <w:r w:rsidR="00467C75" w:rsidRPr="001D11CD">
        <w:rPr>
          <w:lang w:val="bg-BG"/>
        </w:rPr>
        <w:t xml:space="preserve">плюс всички данъци, евентуално дължими </w:t>
      </w:r>
      <w:r w:rsidR="003A065D" w:rsidRPr="001D11CD">
        <w:rPr>
          <w:lang w:val="bg-BG"/>
        </w:rPr>
        <w:t xml:space="preserve">от </w:t>
      </w:r>
      <w:r w:rsidR="000C7FEC" w:rsidRPr="001D11CD">
        <w:rPr>
          <w:lang w:val="bg-BG"/>
        </w:rPr>
        <w:t>жалбоподателя</w:t>
      </w:r>
      <w:r w:rsidRPr="001D11CD">
        <w:rPr>
          <w:lang w:val="bg-BG"/>
        </w:rPr>
        <w:t xml:space="preserve"> </w:t>
      </w:r>
      <w:r w:rsidR="003A065D" w:rsidRPr="001D11CD">
        <w:rPr>
          <w:lang w:val="bg-BG"/>
        </w:rPr>
        <w:t>върху тази сума</w:t>
      </w:r>
      <w:r w:rsidRPr="001D11CD">
        <w:rPr>
          <w:lang w:val="bg-BG"/>
        </w:rPr>
        <w:t xml:space="preserve">, </w:t>
      </w:r>
      <w:r w:rsidR="00AB4DE3" w:rsidRPr="001D11CD">
        <w:rPr>
          <w:lang w:val="bg-BG"/>
        </w:rPr>
        <w:t>за съдебни разноски</w:t>
      </w:r>
      <w:r w:rsidRPr="001D11CD">
        <w:rPr>
          <w:lang w:val="bg-BG"/>
        </w:rPr>
        <w:t>,</w:t>
      </w:r>
      <w:r w:rsidRPr="001D11CD">
        <w:rPr>
          <w:lang w:val="bg-BG" w:eastAsia="en-GB"/>
        </w:rPr>
        <w:t xml:space="preserve"> </w:t>
      </w:r>
      <w:r w:rsidR="003A065D" w:rsidRPr="001D11CD">
        <w:rPr>
          <w:lang w:val="bg-BG" w:eastAsia="en-GB"/>
        </w:rPr>
        <w:t>които да се преведат по банковата сметка на Българския хелзинкски комитет</w:t>
      </w:r>
      <w:r w:rsidRPr="001D11CD">
        <w:rPr>
          <w:lang w:val="bg-BG"/>
        </w:rPr>
        <w:t>;</w:t>
      </w:r>
    </w:p>
    <w:p w14:paraId="67E4B36D" w14:textId="58574EC3" w:rsidR="000B760F" w:rsidRPr="001D11CD" w:rsidRDefault="003A065D" w:rsidP="003A065D">
      <w:pPr>
        <w:pStyle w:val="JuLista"/>
        <w:numPr>
          <w:ilvl w:val="0"/>
          <w:numId w:val="0"/>
        </w:numPr>
        <w:ind w:left="680" w:hanging="340"/>
        <w:rPr>
          <w:lang w:val="bg-BG"/>
        </w:rPr>
      </w:pPr>
      <w:r w:rsidRPr="001D11CD">
        <w:rPr>
          <w:lang w:val="bg-BG"/>
        </w:rPr>
        <w:t xml:space="preserve">б) </w:t>
      </w:r>
      <w:r w:rsidR="00275A43" w:rsidRPr="001D11CD">
        <w:rPr>
          <w:lang w:val="bg-BG"/>
        </w:rPr>
        <w:t>че от датата на изтичане на гореспоменатия срок до изплащането се дължи проста лихва върху горепосочената сума в размер, равен на ставката на пределн</w:t>
      </w:r>
      <w:r w:rsidR="00500FB1">
        <w:rPr>
          <w:lang w:val="bg-BG"/>
        </w:rPr>
        <w:t>ия лихвен процент по заеми</w:t>
      </w:r>
      <w:r w:rsidR="00275A43" w:rsidRPr="001D11CD">
        <w:rPr>
          <w:lang w:val="bg-BG"/>
        </w:rPr>
        <w:t xml:space="preserve"> на Европейската централна банка по време на просрочения период плюс три процентни пункта</w:t>
      </w:r>
      <w:r w:rsidR="000B760F" w:rsidRPr="001D11CD">
        <w:rPr>
          <w:lang w:val="bg-BG"/>
        </w:rPr>
        <w:t>;</w:t>
      </w:r>
    </w:p>
    <w:p w14:paraId="4BC453CF" w14:textId="7DD33CA8" w:rsidR="000B760F" w:rsidRPr="001D11CD" w:rsidRDefault="00275A43" w:rsidP="000B760F">
      <w:pPr>
        <w:pStyle w:val="JuList"/>
        <w:numPr>
          <w:ilvl w:val="0"/>
          <w:numId w:val="19"/>
        </w:numPr>
        <w:rPr>
          <w:lang w:val="bg-BG"/>
        </w:rPr>
      </w:pPr>
      <w:r w:rsidRPr="001D11CD">
        <w:rPr>
          <w:i/>
          <w:lang w:val="bg-BG"/>
        </w:rPr>
        <w:t>Отхвърля</w:t>
      </w:r>
      <w:r w:rsidR="000B760F" w:rsidRPr="001D11CD">
        <w:rPr>
          <w:i/>
          <w:lang w:val="bg-BG"/>
        </w:rPr>
        <w:t xml:space="preserve"> </w:t>
      </w:r>
      <w:r w:rsidR="00897507" w:rsidRPr="001D11CD">
        <w:rPr>
          <w:lang w:val="bg-BG"/>
        </w:rPr>
        <w:t>искането</w:t>
      </w:r>
      <w:r w:rsidR="000B760F" w:rsidRPr="001D11CD">
        <w:rPr>
          <w:lang w:val="bg-BG"/>
        </w:rPr>
        <w:t xml:space="preserve"> </w:t>
      </w:r>
      <w:r w:rsidR="003A065D" w:rsidRPr="001D11CD">
        <w:rPr>
          <w:lang w:val="bg-BG"/>
        </w:rPr>
        <w:t>за</w:t>
      </w:r>
      <w:r w:rsidR="000B760F" w:rsidRPr="001D11CD">
        <w:rPr>
          <w:lang w:val="bg-BG"/>
        </w:rPr>
        <w:t xml:space="preserve"> </w:t>
      </w:r>
      <w:r w:rsidRPr="001D11CD">
        <w:rPr>
          <w:lang w:val="bg-BG"/>
        </w:rPr>
        <w:t>справедливо обезщетение</w:t>
      </w:r>
      <w:r w:rsidR="000B760F" w:rsidRPr="001D11CD">
        <w:rPr>
          <w:lang w:val="bg-BG"/>
        </w:rPr>
        <w:t xml:space="preserve"> </w:t>
      </w:r>
      <w:r w:rsidR="003A065D" w:rsidRPr="001D11CD">
        <w:rPr>
          <w:lang w:val="bg-BG"/>
        </w:rPr>
        <w:t xml:space="preserve">в </w:t>
      </w:r>
      <w:r w:rsidRPr="001D11CD">
        <w:rPr>
          <w:lang w:val="bg-BG"/>
        </w:rPr>
        <w:t>останалата част</w:t>
      </w:r>
      <w:r w:rsidR="000B760F" w:rsidRPr="001D11CD">
        <w:rPr>
          <w:lang w:val="bg-BG"/>
        </w:rPr>
        <w:t>.</w:t>
      </w:r>
    </w:p>
    <w:p w14:paraId="45D005AA" w14:textId="37E0E401" w:rsidR="000B760F" w:rsidRPr="001D11CD" w:rsidRDefault="00275A43" w:rsidP="000B760F">
      <w:pPr>
        <w:pStyle w:val="JuParaLast"/>
        <w:rPr>
          <w:lang w:val="bg-BG"/>
        </w:rPr>
      </w:pPr>
      <w:r w:rsidRPr="001D11CD">
        <w:rPr>
          <w:lang w:val="bg-BG"/>
        </w:rPr>
        <w:t>Изготвено на френски език и съобщено в писмена форма на</w:t>
      </w:r>
      <w:r w:rsidR="000B760F" w:rsidRPr="001D11CD">
        <w:rPr>
          <w:lang w:val="bg-BG"/>
        </w:rPr>
        <w:t xml:space="preserve"> 2 </w:t>
      </w:r>
      <w:r w:rsidR="003A065D" w:rsidRPr="001D11CD">
        <w:rPr>
          <w:lang w:val="bg-BG"/>
        </w:rPr>
        <w:t>май</w:t>
      </w:r>
      <w:r w:rsidR="000B760F" w:rsidRPr="001D11CD">
        <w:rPr>
          <w:lang w:val="bg-BG"/>
        </w:rPr>
        <w:t xml:space="preserve"> 2023</w:t>
      </w:r>
      <w:r w:rsidR="001D11CD" w:rsidRPr="001D11CD">
        <w:rPr>
          <w:lang w:val="bg-BG"/>
        </w:rPr>
        <w:t> г.</w:t>
      </w:r>
      <w:r w:rsidR="000B760F" w:rsidRPr="001D11CD">
        <w:rPr>
          <w:lang w:val="bg-BG"/>
        </w:rPr>
        <w:t xml:space="preserve">, </w:t>
      </w:r>
      <w:r w:rsidRPr="001D11CD">
        <w:rPr>
          <w:lang w:val="bg-BG"/>
        </w:rPr>
        <w:t>съгласно</w:t>
      </w:r>
      <w:r w:rsidR="000611E8" w:rsidRPr="001D11CD">
        <w:rPr>
          <w:lang w:val="bg-BG"/>
        </w:rPr>
        <w:t xml:space="preserve"> </w:t>
      </w:r>
      <w:r w:rsidR="001A14B1" w:rsidRPr="001D11CD">
        <w:rPr>
          <w:lang w:val="bg-BG"/>
        </w:rPr>
        <w:t>член</w:t>
      </w:r>
      <w:r w:rsidR="000B760F" w:rsidRPr="001D11CD">
        <w:rPr>
          <w:lang w:val="bg-BG"/>
        </w:rPr>
        <w:t xml:space="preserve"> 77</w:t>
      </w:r>
      <w:r w:rsidR="001D11CD" w:rsidRPr="001D11CD">
        <w:rPr>
          <w:lang w:val="bg-BG"/>
        </w:rPr>
        <w:t>,</w:t>
      </w:r>
      <w:r w:rsidR="000B760F" w:rsidRPr="001D11CD">
        <w:rPr>
          <w:lang w:val="bg-BG"/>
        </w:rPr>
        <w:t xml:space="preserve"> §§ 2</w:t>
      </w:r>
      <w:r w:rsidR="003A065D" w:rsidRPr="001D11CD">
        <w:rPr>
          <w:lang w:val="bg-BG"/>
        </w:rPr>
        <w:t xml:space="preserve"> и</w:t>
      </w:r>
      <w:r w:rsidR="000B760F" w:rsidRPr="001D11CD">
        <w:rPr>
          <w:lang w:val="bg-BG"/>
        </w:rPr>
        <w:t xml:space="preserve"> 3 </w:t>
      </w:r>
      <w:r w:rsidR="003A065D" w:rsidRPr="001D11CD">
        <w:rPr>
          <w:lang w:val="bg-BG"/>
        </w:rPr>
        <w:t>от</w:t>
      </w:r>
      <w:r w:rsidR="000B760F" w:rsidRPr="001D11CD">
        <w:rPr>
          <w:lang w:val="bg-BG"/>
        </w:rPr>
        <w:t xml:space="preserve"> </w:t>
      </w:r>
      <w:r w:rsidR="001A14B1" w:rsidRPr="001D11CD">
        <w:rPr>
          <w:lang w:val="bg-BG"/>
        </w:rPr>
        <w:t>правилник</w:t>
      </w:r>
      <w:r w:rsidR="003A065D" w:rsidRPr="001D11CD">
        <w:rPr>
          <w:lang w:val="bg-BG"/>
        </w:rPr>
        <w:t>а</w:t>
      </w:r>
      <w:r w:rsidR="000B760F" w:rsidRPr="001D11CD">
        <w:rPr>
          <w:lang w:val="bg-BG"/>
        </w:rPr>
        <w:t>.</w:t>
      </w:r>
    </w:p>
    <w:p w14:paraId="58761FF3" w14:textId="77777777" w:rsidR="000B760F" w:rsidRPr="001D11CD" w:rsidRDefault="000B760F" w:rsidP="000B760F">
      <w:pPr>
        <w:pStyle w:val="JuSigned"/>
        <w:keepNext/>
        <w:keepLines/>
        <w:rPr>
          <w:color w:val="F8F8F8" w:themeColor="background2"/>
          <w:lang w:val="bg-BG"/>
        </w:rPr>
      </w:pPr>
      <w:r w:rsidRPr="001D11CD">
        <w:rPr>
          <w:color w:val="F8F8F8" w:themeColor="background2"/>
          <w:lang w:val="bg-BG"/>
        </w:rPr>
        <w:tab/>
      </w:r>
    </w:p>
    <w:p w14:paraId="46B49B46" w14:textId="31678E7E" w:rsidR="000B760F" w:rsidRPr="001D11CD" w:rsidRDefault="000B760F" w:rsidP="000B760F">
      <w:pPr>
        <w:pStyle w:val="JuSigned"/>
        <w:rPr>
          <w:lang w:val="bg-BG"/>
        </w:rPr>
      </w:pPr>
      <w:r w:rsidRPr="001D11CD">
        <w:rPr>
          <w:lang w:val="bg-BG"/>
        </w:rPr>
        <w:tab/>
      </w:r>
      <w:r w:rsidR="003A065D" w:rsidRPr="001D11CD">
        <w:rPr>
          <w:lang w:val="bg-BG"/>
        </w:rPr>
        <w:t xml:space="preserve">Милан </w:t>
      </w:r>
      <w:proofErr w:type="spellStart"/>
      <w:r w:rsidR="003A065D" w:rsidRPr="001D11CD">
        <w:rPr>
          <w:lang w:val="bg-BG"/>
        </w:rPr>
        <w:t>Блашко</w:t>
      </w:r>
      <w:proofErr w:type="spellEnd"/>
      <w:r w:rsidRPr="001D11CD">
        <w:rPr>
          <w:lang w:val="bg-BG"/>
        </w:rPr>
        <w:tab/>
      </w:r>
      <w:r w:rsidR="003A065D" w:rsidRPr="001D11CD">
        <w:rPr>
          <w:lang w:val="bg-BG"/>
        </w:rPr>
        <w:t xml:space="preserve">Пере Пастор </w:t>
      </w:r>
      <w:proofErr w:type="spellStart"/>
      <w:r w:rsidR="003A065D" w:rsidRPr="001D11CD">
        <w:rPr>
          <w:lang w:val="bg-BG"/>
        </w:rPr>
        <w:t>Виланова</w:t>
      </w:r>
      <w:proofErr w:type="spellEnd"/>
      <w:r w:rsidRPr="001D11CD">
        <w:rPr>
          <w:lang w:val="bg-BG"/>
        </w:rPr>
        <w:tab/>
      </w:r>
      <w:r w:rsidR="003A065D" w:rsidRPr="001D11CD">
        <w:rPr>
          <w:lang w:val="bg-BG"/>
        </w:rPr>
        <w:t>Секретар</w:t>
      </w:r>
      <w:r w:rsidRPr="001D11CD">
        <w:rPr>
          <w:lang w:val="bg-BG"/>
        </w:rPr>
        <w:tab/>
      </w:r>
      <w:r w:rsidR="00B55E67" w:rsidRPr="001D11CD">
        <w:rPr>
          <w:lang w:val="bg-BG"/>
        </w:rPr>
        <w:t>Председател</w:t>
      </w:r>
    </w:p>
    <w:p w14:paraId="2BE0270D" w14:textId="77777777" w:rsidR="000B760F" w:rsidRPr="001D11CD" w:rsidRDefault="000B760F" w:rsidP="008F08A2">
      <w:pPr>
        <w:pStyle w:val="JuPara"/>
        <w:rPr>
          <w:lang w:val="bg-BG"/>
        </w:rPr>
      </w:pPr>
    </w:p>
    <w:sectPr w:rsidR="000B760F" w:rsidRPr="001D11CD">
      <w:headerReference w:type="even" r:id="rId16"/>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BF20E" w14:textId="77777777" w:rsidR="00E5758D" w:rsidRPr="00D36951" w:rsidRDefault="00E5758D" w:rsidP="00516B59">
      <w:r w:rsidRPr="00D36951">
        <w:separator/>
      </w:r>
    </w:p>
  </w:endnote>
  <w:endnote w:type="continuationSeparator" w:id="0">
    <w:p w14:paraId="2825314B" w14:textId="77777777" w:rsidR="00E5758D" w:rsidRPr="00D36951" w:rsidRDefault="00E5758D" w:rsidP="00516B59">
      <w:r w:rsidRPr="00D369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83BA" w14:textId="4017CCEB" w:rsidR="001D11CD" w:rsidRPr="00F25EFC" w:rsidRDefault="001D11CD" w:rsidP="00954AD6">
    <w:pPr>
      <w:pStyle w:val="JuHeader"/>
    </w:pPr>
    <w:r>
      <w:fldChar w:fldCharType="begin"/>
    </w:r>
    <w:r>
      <w:instrText xml:space="preserve"> PAGE </w:instrText>
    </w:r>
    <w:r>
      <w:fldChar w:fldCharType="separate"/>
    </w:r>
    <w:r w:rsidR="00603A63">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645A5" w14:textId="77777777" w:rsidR="001D11CD" w:rsidRPr="00150BFA" w:rsidRDefault="001D11CD" w:rsidP="000B760F">
    <w:pPr>
      <w:jc w:val="center"/>
    </w:pPr>
    <w:r>
      <w:rPr>
        <w:noProof/>
        <w:lang w:val="bg-BG" w:eastAsia="bg-BG"/>
      </w:rPr>
      <w:drawing>
        <wp:inline distT="0" distB="0" distL="0" distR="0" wp14:anchorId="4C61088F" wp14:editId="419223CD">
          <wp:extent cx="771525" cy="619125"/>
          <wp:effectExtent l="0" t="0" r="9525" b="9525"/>
          <wp:docPr id="2" name="Picture 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1CACDFE" w14:textId="77777777" w:rsidR="001D11CD" w:rsidRPr="00F25EFC" w:rsidRDefault="001D11CD"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F812" w14:textId="77777777" w:rsidR="001D11CD" w:rsidRPr="00150BFA" w:rsidRDefault="001D11CD" w:rsidP="000B760F">
    <w:pPr>
      <w:jc w:val="center"/>
    </w:pPr>
    <w:r>
      <w:rPr>
        <w:noProof/>
        <w:lang w:val="bg-BG" w:eastAsia="bg-BG"/>
      </w:rPr>
      <w:drawing>
        <wp:inline distT="0" distB="0" distL="0" distR="0" wp14:anchorId="1F29DA1B" wp14:editId="23A0FD93">
          <wp:extent cx="771525" cy="619125"/>
          <wp:effectExtent l="0" t="0" r="9525" b="9525"/>
          <wp:docPr id="61" name="Picture 6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7162B7A2" w14:textId="77777777" w:rsidR="001D11CD" w:rsidRPr="00F25EFC" w:rsidRDefault="001D11CD"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A328A" w14:textId="1729EE79" w:rsidR="001D11CD" w:rsidRPr="00D01935" w:rsidRDefault="001D11CD" w:rsidP="00662882">
    <w:pPr>
      <w:pStyle w:val="JuHeader"/>
    </w:pPr>
    <w:r>
      <w:fldChar w:fldCharType="begin"/>
    </w:r>
    <w:r>
      <w:instrText xml:space="preserve"> PAGE </w:instrText>
    </w:r>
    <w:r>
      <w:fldChar w:fldCharType="separate"/>
    </w:r>
    <w:r w:rsidR="00603A6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968D" w14:textId="77777777" w:rsidR="00E5758D" w:rsidRPr="00D36951" w:rsidRDefault="00E5758D" w:rsidP="00516B59">
      <w:r w:rsidRPr="00D36951">
        <w:separator/>
      </w:r>
    </w:p>
  </w:footnote>
  <w:footnote w:type="continuationSeparator" w:id="0">
    <w:p w14:paraId="604E9C72" w14:textId="77777777" w:rsidR="00E5758D" w:rsidRPr="00D36951" w:rsidRDefault="00E5758D" w:rsidP="00516B59">
      <w:r w:rsidRPr="00D369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95BA" w14:textId="77777777" w:rsidR="001D11CD" w:rsidRPr="00A45145" w:rsidRDefault="001D11CD" w:rsidP="000B760F">
    <w:pPr>
      <w:jc w:val="center"/>
    </w:pPr>
    <w:r>
      <w:rPr>
        <w:noProof/>
        <w:lang w:val="bg-BG" w:eastAsia="bg-BG"/>
      </w:rPr>
      <w:drawing>
        <wp:inline distT="0" distB="0" distL="0" distR="0" wp14:anchorId="6DB28802" wp14:editId="75189D8C">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5D5FE73" w14:textId="77777777" w:rsidR="001D11CD" w:rsidRPr="00F25EFC" w:rsidRDefault="001D11CD" w:rsidP="000B76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F5A4" w14:textId="77777777" w:rsidR="001D11CD" w:rsidRPr="00A45145" w:rsidRDefault="001D11CD" w:rsidP="000B760F">
    <w:pPr>
      <w:jc w:val="center"/>
    </w:pPr>
    <w:r>
      <w:rPr>
        <w:noProof/>
        <w:lang w:val="bg-BG" w:eastAsia="bg-BG"/>
      </w:rPr>
      <w:drawing>
        <wp:inline distT="0" distB="0" distL="0" distR="0" wp14:anchorId="1E743EC0" wp14:editId="6C9805F8">
          <wp:extent cx="2962275" cy="1219200"/>
          <wp:effectExtent l="0" t="0" r="9525" b="0"/>
          <wp:docPr id="57" name="Picture 5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4F16CEC" w14:textId="77777777" w:rsidR="001D11CD" w:rsidRPr="00F25EFC" w:rsidRDefault="001D11CD"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F537" w14:textId="11E56C20" w:rsidR="001D11CD" w:rsidRPr="00ED397C" w:rsidRDefault="001D11CD" w:rsidP="00A21624">
    <w:pPr>
      <w:pStyle w:val="JuHeader"/>
      <w:rPr>
        <w:lang w:val="bg-BG"/>
      </w:rPr>
    </w:pPr>
    <w:r>
      <w:rPr>
        <w:lang w:val="bg-BG"/>
      </w:rPr>
      <w:t xml:space="preserve">РЕШЕНИЕ </w:t>
    </w:r>
    <w:r>
      <w:t>МЕСТАН</w:t>
    </w:r>
    <w:r w:rsidRPr="00A25623">
      <w:t xml:space="preserve"> </w:t>
    </w:r>
    <w:r>
      <w:rPr>
        <w:lang w:val="bg-BG"/>
      </w:rPr>
      <w:t>СРЕЩУ</w:t>
    </w:r>
    <w:r w:rsidRPr="00A25623">
      <w:t xml:space="preserve"> </w:t>
    </w:r>
    <w:r>
      <w:rPr>
        <w:lang w:val="es-ES"/>
      </w:rPr>
      <w:t>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B847" w14:textId="1E8BA652" w:rsidR="001D11CD" w:rsidRPr="00ED397C" w:rsidRDefault="001D11CD" w:rsidP="00662882">
    <w:pPr>
      <w:pStyle w:val="JuHeader"/>
      <w:rPr>
        <w:lang w:val="bg-BG"/>
      </w:rPr>
    </w:pPr>
    <w:r>
      <w:rPr>
        <w:lang w:val="bg-BG"/>
      </w:rPr>
      <w:t xml:space="preserve">РЕШЕНИЕ </w:t>
    </w:r>
    <w:r w:rsidRPr="00ED397C">
      <w:rPr>
        <w:lang w:val="bg-BG"/>
      </w:rPr>
      <w:t>МЕСТАН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767"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C78897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4CD28D7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18C54F2"/>
    <w:multiLevelType w:val="multilevel"/>
    <w:tmpl w:val="7C788976"/>
    <w:numStyleLink w:val="ECHRA1StyleList"/>
  </w:abstractNum>
  <w:num w:numId="1">
    <w:abstractNumId w:val="18"/>
    <w:lvlOverride w:ilvl="0">
      <w:lvl w:ilvl="0">
        <w:start w:val="1"/>
        <w:numFmt w:val="decimal"/>
        <w:lvlText w:val="%1."/>
        <w:lvlJc w:val="left"/>
        <w:pPr>
          <w:tabs>
            <w:tab w:val="num" w:pos="340"/>
          </w:tabs>
          <w:ind w:left="340" w:hanging="340"/>
        </w:pPr>
        <w:rPr>
          <w:rFonts w:hint="default"/>
        </w:rPr>
      </w:lvl>
    </w:lvlOverride>
  </w:num>
  <w:num w:numId="2">
    <w:abstractNumId w:val="13"/>
  </w:num>
  <w:num w:numId="3">
    <w:abstractNumId w:val="11"/>
  </w:num>
  <w:num w:numId="4">
    <w:abstractNumId w:val="10"/>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lvlOverride w:ilvl="0">
      <w:lvl w:ilvl="0">
        <w:start w:val="1"/>
        <w:numFmt w:val="decimal"/>
        <w:pStyle w:val="JuList"/>
        <w:lvlText w:val="%1."/>
        <w:lvlJc w:val="left"/>
        <w:pPr>
          <w:tabs>
            <w:tab w:val="num" w:pos="340"/>
          </w:tabs>
          <w:ind w:left="340" w:hanging="340"/>
        </w:pPr>
      </w:lvl>
    </w:lvlOverride>
  </w:num>
  <w:num w:numId="18">
    <w:abstractNumId w:val="15"/>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1"/>
    <w:docVar w:name="DocVarPREMATURE" w:val="0"/>
    <w:docVar w:name="EMM" w:val="0"/>
    <w:docVar w:name="ETRANSMISSION" w:val="PAR VOIE ÈLECTRONIQUE UNIQUEMENT"/>
    <w:docVar w:name="L4_1Annex" w:val="0"/>
    <w:docVar w:name="L4_1Anonymity" w:val="1"/>
    <w:docVar w:name="L4_1AppNatList" w:val="bulgare"/>
    <w:docVar w:name="NBEMMDOC" w:val="0"/>
    <w:docVar w:name="Plural" w:val="3"/>
    <w:docVar w:name="SignForeName" w:val="0"/>
    <w:docVar w:name="SndCaseNumber" w:val="Error!Nodocumentvariablesupplied."/>
  </w:docVars>
  <w:rsids>
    <w:rsidRoot w:val="00D36951"/>
    <w:rsid w:val="000041F8"/>
    <w:rsid w:val="000042A8"/>
    <w:rsid w:val="00004308"/>
    <w:rsid w:val="00004D37"/>
    <w:rsid w:val="00005BF0"/>
    <w:rsid w:val="00006DD4"/>
    <w:rsid w:val="00007154"/>
    <w:rsid w:val="000103AE"/>
    <w:rsid w:val="00011D69"/>
    <w:rsid w:val="00012234"/>
    <w:rsid w:val="00012AD3"/>
    <w:rsid w:val="00015C2D"/>
    <w:rsid w:val="00015F00"/>
    <w:rsid w:val="00022C1D"/>
    <w:rsid w:val="00025608"/>
    <w:rsid w:val="00025A62"/>
    <w:rsid w:val="00032927"/>
    <w:rsid w:val="00033F06"/>
    <w:rsid w:val="00034987"/>
    <w:rsid w:val="00051015"/>
    <w:rsid w:val="00053E02"/>
    <w:rsid w:val="000602DF"/>
    <w:rsid w:val="000611E8"/>
    <w:rsid w:val="00061B05"/>
    <w:rsid w:val="000632D5"/>
    <w:rsid w:val="000644EE"/>
    <w:rsid w:val="000675A9"/>
    <w:rsid w:val="0007409E"/>
    <w:rsid w:val="00076315"/>
    <w:rsid w:val="00080ECE"/>
    <w:rsid w:val="00082B80"/>
    <w:rsid w:val="0008605B"/>
    <w:rsid w:val="00086E4E"/>
    <w:rsid w:val="00087584"/>
    <w:rsid w:val="0009057B"/>
    <w:rsid w:val="000925AD"/>
    <w:rsid w:val="00097AA3"/>
    <w:rsid w:val="000A12CD"/>
    <w:rsid w:val="000A167E"/>
    <w:rsid w:val="000A20EB"/>
    <w:rsid w:val="000A24EB"/>
    <w:rsid w:val="000A62E1"/>
    <w:rsid w:val="000B5D17"/>
    <w:rsid w:val="000B6923"/>
    <w:rsid w:val="000B760F"/>
    <w:rsid w:val="000C359B"/>
    <w:rsid w:val="000C5F3C"/>
    <w:rsid w:val="000C6DCC"/>
    <w:rsid w:val="000C6E15"/>
    <w:rsid w:val="000C7FEC"/>
    <w:rsid w:val="000D04C2"/>
    <w:rsid w:val="000D47AA"/>
    <w:rsid w:val="000D721F"/>
    <w:rsid w:val="000D7852"/>
    <w:rsid w:val="000E069B"/>
    <w:rsid w:val="000E0E82"/>
    <w:rsid w:val="000E1DC5"/>
    <w:rsid w:val="000E223F"/>
    <w:rsid w:val="000E4AC8"/>
    <w:rsid w:val="000E7D45"/>
    <w:rsid w:val="000F0360"/>
    <w:rsid w:val="000F1305"/>
    <w:rsid w:val="000F19D8"/>
    <w:rsid w:val="000F7851"/>
    <w:rsid w:val="00103442"/>
    <w:rsid w:val="00104E23"/>
    <w:rsid w:val="0010694E"/>
    <w:rsid w:val="00111B0C"/>
    <w:rsid w:val="00117222"/>
    <w:rsid w:val="00117A7B"/>
    <w:rsid w:val="00117CD2"/>
    <w:rsid w:val="00120D6C"/>
    <w:rsid w:val="00121B1F"/>
    <w:rsid w:val="001257EC"/>
    <w:rsid w:val="001305D1"/>
    <w:rsid w:val="00133D33"/>
    <w:rsid w:val="00134D64"/>
    <w:rsid w:val="00135A30"/>
    <w:rsid w:val="0013612C"/>
    <w:rsid w:val="00137FF6"/>
    <w:rsid w:val="00141650"/>
    <w:rsid w:val="00146CAB"/>
    <w:rsid w:val="00153F38"/>
    <w:rsid w:val="00156A3C"/>
    <w:rsid w:val="0016113E"/>
    <w:rsid w:val="001625AD"/>
    <w:rsid w:val="00162967"/>
    <w:rsid w:val="00162A12"/>
    <w:rsid w:val="00163BF1"/>
    <w:rsid w:val="00166530"/>
    <w:rsid w:val="00172419"/>
    <w:rsid w:val="00174D23"/>
    <w:rsid w:val="001755D4"/>
    <w:rsid w:val="00180250"/>
    <w:rsid w:val="00181508"/>
    <w:rsid w:val="001832BD"/>
    <w:rsid w:val="001852AF"/>
    <w:rsid w:val="001919A1"/>
    <w:rsid w:val="001943B5"/>
    <w:rsid w:val="00194C5B"/>
    <w:rsid w:val="00194DB7"/>
    <w:rsid w:val="00195134"/>
    <w:rsid w:val="001962C7"/>
    <w:rsid w:val="001A145B"/>
    <w:rsid w:val="001A14B1"/>
    <w:rsid w:val="001A2684"/>
    <w:rsid w:val="001A674C"/>
    <w:rsid w:val="001B3B24"/>
    <w:rsid w:val="001B4F33"/>
    <w:rsid w:val="001C0F98"/>
    <w:rsid w:val="001C2A42"/>
    <w:rsid w:val="001C2B5C"/>
    <w:rsid w:val="001C444A"/>
    <w:rsid w:val="001C64B6"/>
    <w:rsid w:val="001D074C"/>
    <w:rsid w:val="001D11CD"/>
    <w:rsid w:val="001D63ED"/>
    <w:rsid w:val="001D7348"/>
    <w:rsid w:val="001E035B"/>
    <w:rsid w:val="001E0961"/>
    <w:rsid w:val="001E2A19"/>
    <w:rsid w:val="001E3EAE"/>
    <w:rsid w:val="001E5DDE"/>
    <w:rsid w:val="001E6CA5"/>
    <w:rsid w:val="001E6F32"/>
    <w:rsid w:val="001F2145"/>
    <w:rsid w:val="001F39F4"/>
    <w:rsid w:val="001F6262"/>
    <w:rsid w:val="001F67B0"/>
    <w:rsid w:val="001F7916"/>
    <w:rsid w:val="001F7B3D"/>
    <w:rsid w:val="00204C27"/>
    <w:rsid w:val="00204F24"/>
    <w:rsid w:val="002050D2"/>
    <w:rsid w:val="00205A01"/>
    <w:rsid w:val="00205F9F"/>
    <w:rsid w:val="00210338"/>
    <w:rsid w:val="002115FC"/>
    <w:rsid w:val="00212184"/>
    <w:rsid w:val="0021423C"/>
    <w:rsid w:val="00216225"/>
    <w:rsid w:val="00227180"/>
    <w:rsid w:val="00230D00"/>
    <w:rsid w:val="00231364"/>
    <w:rsid w:val="00231DF7"/>
    <w:rsid w:val="00231FD1"/>
    <w:rsid w:val="002339E0"/>
    <w:rsid w:val="00233CF8"/>
    <w:rsid w:val="00233D89"/>
    <w:rsid w:val="0023575D"/>
    <w:rsid w:val="00237148"/>
    <w:rsid w:val="0024222D"/>
    <w:rsid w:val="00244B0E"/>
    <w:rsid w:val="00244F6C"/>
    <w:rsid w:val="002532C5"/>
    <w:rsid w:val="00253BDB"/>
    <w:rsid w:val="002546AE"/>
    <w:rsid w:val="002558BA"/>
    <w:rsid w:val="00256F45"/>
    <w:rsid w:val="00260C03"/>
    <w:rsid w:val="0026540E"/>
    <w:rsid w:val="00265EB0"/>
    <w:rsid w:val="00275123"/>
    <w:rsid w:val="00275A43"/>
    <w:rsid w:val="00280201"/>
    <w:rsid w:val="00282240"/>
    <w:rsid w:val="002948AD"/>
    <w:rsid w:val="0029739C"/>
    <w:rsid w:val="002A00FC"/>
    <w:rsid w:val="002A01CC"/>
    <w:rsid w:val="002A61B1"/>
    <w:rsid w:val="002A663C"/>
    <w:rsid w:val="002B1BCB"/>
    <w:rsid w:val="002B3117"/>
    <w:rsid w:val="002B444B"/>
    <w:rsid w:val="002B5887"/>
    <w:rsid w:val="002B6782"/>
    <w:rsid w:val="002B6804"/>
    <w:rsid w:val="002B7E83"/>
    <w:rsid w:val="002C08E1"/>
    <w:rsid w:val="002C0E27"/>
    <w:rsid w:val="002C3040"/>
    <w:rsid w:val="002D022D"/>
    <w:rsid w:val="002D24BB"/>
    <w:rsid w:val="002D29C8"/>
    <w:rsid w:val="002D4D64"/>
    <w:rsid w:val="002F29AA"/>
    <w:rsid w:val="002F2AF7"/>
    <w:rsid w:val="002F7E1C"/>
    <w:rsid w:val="00301A75"/>
    <w:rsid w:val="003023E3"/>
    <w:rsid w:val="00302F70"/>
    <w:rsid w:val="0030336F"/>
    <w:rsid w:val="0030375E"/>
    <w:rsid w:val="0030660C"/>
    <w:rsid w:val="00312A30"/>
    <w:rsid w:val="00316323"/>
    <w:rsid w:val="00316F3F"/>
    <w:rsid w:val="00320F72"/>
    <w:rsid w:val="0032463E"/>
    <w:rsid w:val="003249CC"/>
    <w:rsid w:val="00325BF2"/>
    <w:rsid w:val="00326224"/>
    <w:rsid w:val="00330F3F"/>
    <w:rsid w:val="00332C18"/>
    <w:rsid w:val="00335E96"/>
    <w:rsid w:val="00337EE4"/>
    <w:rsid w:val="00340FFD"/>
    <w:rsid w:val="003471AF"/>
    <w:rsid w:val="003504DC"/>
    <w:rsid w:val="003506B1"/>
    <w:rsid w:val="00356AC7"/>
    <w:rsid w:val="00356D40"/>
    <w:rsid w:val="00357B33"/>
    <w:rsid w:val="003609FA"/>
    <w:rsid w:val="00361D45"/>
    <w:rsid w:val="00366617"/>
    <w:rsid w:val="00367B4F"/>
    <w:rsid w:val="0037079E"/>
    <w:rsid w:val="003710C8"/>
    <w:rsid w:val="003722CE"/>
    <w:rsid w:val="00374061"/>
    <w:rsid w:val="003750BE"/>
    <w:rsid w:val="00385B28"/>
    <w:rsid w:val="003862C2"/>
    <w:rsid w:val="00387B9D"/>
    <w:rsid w:val="0039364F"/>
    <w:rsid w:val="00393C2A"/>
    <w:rsid w:val="00396686"/>
    <w:rsid w:val="0039778E"/>
    <w:rsid w:val="003A065D"/>
    <w:rsid w:val="003A06FB"/>
    <w:rsid w:val="003A37B8"/>
    <w:rsid w:val="003A72DF"/>
    <w:rsid w:val="003A7878"/>
    <w:rsid w:val="003B4941"/>
    <w:rsid w:val="003B6A2E"/>
    <w:rsid w:val="003C5714"/>
    <w:rsid w:val="003C6B9F"/>
    <w:rsid w:val="003C6E2A"/>
    <w:rsid w:val="003D0299"/>
    <w:rsid w:val="003D32BE"/>
    <w:rsid w:val="003D5610"/>
    <w:rsid w:val="003D69A3"/>
    <w:rsid w:val="003D6E6D"/>
    <w:rsid w:val="003E3FE3"/>
    <w:rsid w:val="003E513F"/>
    <w:rsid w:val="003E6D80"/>
    <w:rsid w:val="003E7A9C"/>
    <w:rsid w:val="003F05FA"/>
    <w:rsid w:val="003F0761"/>
    <w:rsid w:val="003F244A"/>
    <w:rsid w:val="003F30B8"/>
    <w:rsid w:val="003F4C45"/>
    <w:rsid w:val="003F5F7B"/>
    <w:rsid w:val="003F7D64"/>
    <w:rsid w:val="00401F7D"/>
    <w:rsid w:val="004037C4"/>
    <w:rsid w:val="004071FA"/>
    <w:rsid w:val="0041177B"/>
    <w:rsid w:val="00411CC4"/>
    <w:rsid w:val="00414300"/>
    <w:rsid w:val="00416DF0"/>
    <w:rsid w:val="00425C67"/>
    <w:rsid w:val="00427BCF"/>
    <w:rsid w:val="00427E7A"/>
    <w:rsid w:val="00431C07"/>
    <w:rsid w:val="004344E6"/>
    <w:rsid w:val="00436C49"/>
    <w:rsid w:val="00441ED2"/>
    <w:rsid w:val="0044318F"/>
    <w:rsid w:val="0044406B"/>
    <w:rsid w:val="0044525D"/>
    <w:rsid w:val="00445366"/>
    <w:rsid w:val="00447F5B"/>
    <w:rsid w:val="00452ABB"/>
    <w:rsid w:val="00453323"/>
    <w:rsid w:val="00456549"/>
    <w:rsid w:val="004604A0"/>
    <w:rsid w:val="00460576"/>
    <w:rsid w:val="00461DB0"/>
    <w:rsid w:val="00463926"/>
    <w:rsid w:val="00464C9A"/>
    <w:rsid w:val="00465014"/>
    <w:rsid w:val="00467C75"/>
    <w:rsid w:val="00474F3D"/>
    <w:rsid w:val="00477E3A"/>
    <w:rsid w:val="00483E5F"/>
    <w:rsid w:val="004845A1"/>
    <w:rsid w:val="00485FF9"/>
    <w:rsid w:val="004907F0"/>
    <w:rsid w:val="0049140B"/>
    <w:rsid w:val="004923A5"/>
    <w:rsid w:val="00496197"/>
    <w:rsid w:val="00496BFB"/>
    <w:rsid w:val="004A0623"/>
    <w:rsid w:val="004A15C7"/>
    <w:rsid w:val="004B013B"/>
    <w:rsid w:val="004B112B"/>
    <w:rsid w:val="004C01E4"/>
    <w:rsid w:val="004C086C"/>
    <w:rsid w:val="004C14C4"/>
    <w:rsid w:val="004C1A3F"/>
    <w:rsid w:val="004C1F56"/>
    <w:rsid w:val="004C27BC"/>
    <w:rsid w:val="004D15F3"/>
    <w:rsid w:val="004D5311"/>
    <w:rsid w:val="004D57DD"/>
    <w:rsid w:val="004D5DCC"/>
    <w:rsid w:val="004E1F25"/>
    <w:rsid w:val="004E22F1"/>
    <w:rsid w:val="004E442A"/>
    <w:rsid w:val="004F10AF"/>
    <w:rsid w:val="004F11A4"/>
    <w:rsid w:val="004F2389"/>
    <w:rsid w:val="004F304D"/>
    <w:rsid w:val="004F526F"/>
    <w:rsid w:val="004F61BE"/>
    <w:rsid w:val="004F66B1"/>
    <w:rsid w:val="004F7795"/>
    <w:rsid w:val="00500FB1"/>
    <w:rsid w:val="00510C39"/>
    <w:rsid w:val="00510D77"/>
    <w:rsid w:val="00511C07"/>
    <w:rsid w:val="00516B59"/>
    <w:rsid w:val="005173A6"/>
    <w:rsid w:val="00520BAA"/>
    <w:rsid w:val="00522ABA"/>
    <w:rsid w:val="00525208"/>
    <w:rsid w:val="005257A5"/>
    <w:rsid w:val="005264C0"/>
    <w:rsid w:val="00526A8A"/>
    <w:rsid w:val="00531DF2"/>
    <w:rsid w:val="00541105"/>
    <w:rsid w:val="005442EE"/>
    <w:rsid w:val="00547353"/>
    <w:rsid w:val="005474E7"/>
    <w:rsid w:val="005512A3"/>
    <w:rsid w:val="00553C1F"/>
    <w:rsid w:val="00556B82"/>
    <w:rsid w:val="005578CE"/>
    <w:rsid w:val="00562781"/>
    <w:rsid w:val="00564F62"/>
    <w:rsid w:val="00565403"/>
    <w:rsid w:val="00566E2B"/>
    <w:rsid w:val="0057271C"/>
    <w:rsid w:val="00572845"/>
    <w:rsid w:val="00576986"/>
    <w:rsid w:val="0058509B"/>
    <w:rsid w:val="00592772"/>
    <w:rsid w:val="00592C8D"/>
    <w:rsid w:val="005930A4"/>
    <w:rsid w:val="00594B9A"/>
    <w:rsid w:val="0059574A"/>
    <w:rsid w:val="005A1B9B"/>
    <w:rsid w:val="005A3053"/>
    <w:rsid w:val="005A6751"/>
    <w:rsid w:val="005B092E"/>
    <w:rsid w:val="005B152C"/>
    <w:rsid w:val="005B1B8A"/>
    <w:rsid w:val="005B1EE0"/>
    <w:rsid w:val="005B2B24"/>
    <w:rsid w:val="005B410C"/>
    <w:rsid w:val="005B4425"/>
    <w:rsid w:val="005B4B94"/>
    <w:rsid w:val="005B7F1D"/>
    <w:rsid w:val="005C353F"/>
    <w:rsid w:val="005C3EE8"/>
    <w:rsid w:val="005C50BE"/>
    <w:rsid w:val="005D34F9"/>
    <w:rsid w:val="005D4190"/>
    <w:rsid w:val="005D43FE"/>
    <w:rsid w:val="005D543C"/>
    <w:rsid w:val="005D5F0E"/>
    <w:rsid w:val="005D5F18"/>
    <w:rsid w:val="005D67A3"/>
    <w:rsid w:val="005E2988"/>
    <w:rsid w:val="005E3085"/>
    <w:rsid w:val="005E4127"/>
    <w:rsid w:val="005E689E"/>
    <w:rsid w:val="005F51E1"/>
    <w:rsid w:val="00603A63"/>
    <w:rsid w:val="00606C96"/>
    <w:rsid w:val="00607AD8"/>
    <w:rsid w:val="00610F7A"/>
    <w:rsid w:val="00611C80"/>
    <w:rsid w:val="006129EC"/>
    <w:rsid w:val="00613B21"/>
    <w:rsid w:val="00620692"/>
    <w:rsid w:val="0062177B"/>
    <w:rsid w:val="006242CA"/>
    <w:rsid w:val="00627507"/>
    <w:rsid w:val="006317BF"/>
    <w:rsid w:val="00633717"/>
    <w:rsid w:val="0063434D"/>
    <w:rsid w:val="006344E1"/>
    <w:rsid w:val="00634522"/>
    <w:rsid w:val="006361FD"/>
    <w:rsid w:val="006405CC"/>
    <w:rsid w:val="006545C4"/>
    <w:rsid w:val="006549AE"/>
    <w:rsid w:val="00654B7E"/>
    <w:rsid w:val="00656955"/>
    <w:rsid w:val="00661971"/>
    <w:rsid w:val="00661CE8"/>
    <w:rsid w:val="006623D9"/>
    <w:rsid w:val="00662882"/>
    <w:rsid w:val="0066341A"/>
    <w:rsid w:val="0066550C"/>
    <w:rsid w:val="006716F2"/>
    <w:rsid w:val="006779BD"/>
    <w:rsid w:val="00682BF2"/>
    <w:rsid w:val="006859CE"/>
    <w:rsid w:val="00691270"/>
    <w:rsid w:val="00692E99"/>
    <w:rsid w:val="00694BA8"/>
    <w:rsid w:val="00697BD2"/>
    <w:rsid w:val="006A01FC"/>
    <w:rsid w:val="006A037C"/>
    <w:rsid w:val="006A36F4"/>
    <w:rsid w:val="006A406F"/>
    <w:rsid w:val="006A5D3A"/>
    <w:rsid w:val="006B71BC"/>
    <w:rsid w:val="006C23D4"/>
    <w:rsid w:val="006C434E"/>
    <w:rsid w:val="006C475E"/>
    <w:rsid w:val="006C4FEB"/>
    <w:rsid w:val="006C7BB0"/>
    <w:rsid w:val="006D0664"/>
    <w:rsid w:val="006D3237"/>
    <w:rsid w:val="006E1414"/>
    <w:rsid w:val="006E2E37"/>
    <w:rsid w:val="006E3CF1"/>
    <w:rsid w:val="006E5901"/>
    <w:rsid w:val="006E7E80"/>
    <w:rsid w:val="006F06E9"/>
    <w:rsid w:val="006F48CA"/>
    <w:rsid w:val="006F64DD"/>
    <w:rsid w:val="00711A2F"/>
    <w:rsid w:val="00715127"/>
    <w:rsid w:val="007154A7"/>
    <w:rsid w:val="00715E8E"/>
    <w:rsid w:val="007162F4"/>
    <w:rsid w:val="007172B0"/>
    <w:rsid w:val="00723580"/>
    <w:rsid w:val="00723755"/>
    <w:rsid w:val="00724AE2"/>
    <w:rsid w:val="00730B5C"/>
    <w:rsid w:val="0073136C"/>
    <w:rsid w:val="00731F0F"/>
    <w:rsid w:val="00733250"/>
    <w:rsid w:val="00735951"/>
    <w:rsid w:val="00741404"/>
    <w:rsid w:val="00741A7D"/>
    <w:rsid w:val="00743505"/>
    <w:rsid w:val="00743B7E"/>
    <w:rsid w:val="007449E5"/>
    <w:rsid w:val="00747FF0"/>
    <w:rsid w:val="007523AB"/>
    <w:rsid w:val="007612E2"/>
    <w:rsid w:val="00764D4E"/>
    <w:rsid w:val="00765A1F"/>
    <w:rsid w:val="00770570"/>
    <w:rsid w:val="00775B6D"/>
    <w:rsid w:val="00776D68"/>
    <w:rsid w:val="0078368E"/>
    <w:rsid w:val="007850EE"/>
    <w:rsid w:val="00785B95"/>
    <w:rsid w:val="00790AAD"/>
    <w:rsid w:val="00790D57"/>
    <w:rsid w:val="00790E96"/>
    <w:rsid w:val="00793366"/>
    <w:rsid w:val="00794E99"/>
    <w:rsid w:val="007959A1"/>
    <w:rsid w:val="007971FF"/>
    <w:rsid w:val="007A15D0"/>
    <w:rsid w:val="007A4070"/>
    <w:rsid w:val="007A716F"/>
    <w:rsid w:val="007B270A"/>
    <w:rsid w:val="007C0695"/>
    <w:rsid w:val="007C0A9B"/>
    <w:rsid w:val="007C419A"/>
    <w:rsid w:val="007C42EC"/>
    <w:rsid w:val="007C4CC8"/>
    <w:rsid w:val="007C5426"/>
    <w:rsid w:val="007C5798"/>
    <w:rsid w:val="007D33E1"/>
    <w:rsid w:val="007D3CF9"/>
    <w:rsid w:val="007D4832"/>
    <w:rsid w:val="007D6465"/>
    <w:rsid w:val="007E21B2"/>
    <w:rsid w:val="007E2C4E"/>
    <w:rsid w:val="007F1905"/>
    <w:rsid w:val="007F2A7C"/>
    <w:rsid w:val="007F3340"/>
    <w:rsid w:val="007F565F"/>
    <w:rsid w:val="00801300"/>
    <w:rsid w:val="00802C64"/>
    <w:rsid w:val="0080523A"/>
    <w:rsid w:val="00805DF5"/>
    <w:rsid w:val="00805E52"/>
    <w:rsid w:val="008061D0"/>
    <w:rsid w:val="00810B38"/>
    <w:rsid w:val="00814F58"/>
    <w:rsid w:val="008204C7"/>
    <w:rsid w:val="00820992"/>
    <w:rsid w:val="00823602"/>
    <w:rsid w:val="008255F5"/>
    <w:rsid w:val="0083014E"/>
    <w:rsid w:val="0083214A"/>
    <w:rsid w:val="00832291"/>
    <w:rsid w:val="00832C85"/>
    <w:rsid w:val="00833F53"/>
    <w:rsid w:val="00834220"/>
    <w:rsid w:val="00835CBA"/>
    <w:rsid w:val="00841D57"/>
    <w:rsid w:val="00845723"/>
    <w:rsid w:val="00851EF9"/>
    <w:rsid w:val="0085256E"/>
    <w:rsid w:val="008577FD"/>
    <w:rsid w:val="00860B03"/>
    <w:rsid w:val="0086172F"/>
    <w:rsid w:val="00863225"/>
    <w:rsid w:val="0086497A"/>
    <w:rsid w:val="008713A1"/>
    <w:rsid w:val="00873D9C"/>
    <w:rsid w:val="008748BE"/>
    <w:rsid w:val="0087491D"/>
    <w:rsid w:val="008754AB"/>
    <w:rsid w:val="00876A02"/>
    <w:rsid w:val="00876F03"/>
    <w:rsid w:val="0088060C"/>
    <w:rsid w:val="00884261"/>
    <w:rsid w:val="00891107"/>
    <w:rsid w:val="00893576"/>
    <w:rsid w:val="00893E73"/>
    <w:rsid w:val="00893F30"/>
    <w:rsid w:val="00895F5B"/>
    <w:rsid w:val="00897507"/>
    <w:rsid w:val="008A2B47"/>
    <w:rsid w:val="008B02DC"/>
    <w:rsid w:val="008B2698"/>
    <w:rsid w:val="008B57CE"/>
    <w:rsid w:val="008C26DE"/>
    <w:rsid w:val="008D2225"/>
    <w:rsid w:val="008D42D7"/>
    <w:rsid w:val="008D4752"/>
    <w:rsid w:val="008E271C"/>
    <w:rsid w:val="008E418E"/>
    <w:rsid w:val="008E5BC6"/>
    <w:rsid w:val="008E6A25"/>
    <w:rsid w:val="008E7A1B"/>
    <w:rsid w:val="008F08A2"/>
    <w:rsid w:val="008F5193"/>
    <w:rsid w:val="008F74D4"/>
    <w:rsid w:val="009013A7"/>
    <w:rsid w:val="0090157E"/>
    <w:rsid w:val="009017FB"/>
    <w:rsid w:val="009017FC"/>
    <w:rsid w:val="009020E3"/>
    <w:rsid w:val="00902601"/>
    <w:rsid w:val="0090506B"/>
    <w:rsid w:val="009050C9"/>
    <w:rsid w:val="009066FC"/>
    <w:rsid w:val="00911C89"/>
    <w:rsid w:val="00912B95"/>
    <w:rsid w:val="009140A3"/>
    <w:rsid w:val="009144A2"/>
    <w:rsid w:val="00914C2B"/>
    <w:rsid w:val="0091510C"/>
    <w:rsid w:val="009259AC"/>
    <w:rsid w:val="00926F38"/>
    <w:rsid w:val="00927F3C"/>
    <w:rsid w:val="00934301"/>
    <w:rsid w:val="00936CD1"/>
    <w:rsid w:val="009375A5"/>
    <w:rsid w:val="009415A9"/>
    <w:rsid w:val="00941747"/>
    <w:rsid w:val="00941EFB"/>
    <w:rsid w:val="00947AFB"/>
    <w:rsid w:val="00951D7D"/>
    <w:rsid w:val="00954AD6"/>
    <w:rsid w:val="0095633A"/>
    <w:rsid w:val="00956A69"/>
    <w:rsid w:val="009605CC"/>
    <w:rsid w:val="009630C7"/>
    <w:rsid w:val="00972B55"/>
    <w:rsid w:val="009743B7"/>
    <w:rsid w:val="009746D6"/>
    <w:rsid w:val="00975039"/>
    <w:rsid w:val="00977182"/>
    <w:rsid w:val="00977227"/>
    <w:rsid w:val="0098228B"/>
    <w:rsid w:val="009828DA"/>
    <w:rsid w:val="00985BAB"/>
    <w:rsid w:val="009904D9"/>
    <w:rsid w:val="009913E4"/>
    <w:rsid w:val="009913FC"/>
    <w:rsid w:val="0099329A"/>
    <w:rsid w:val="009939BC"/>
    <w:rsid w:val="009966C1"/>
    <w:rsid w:val="009B02A2"/>
    <w:rsid w:val="009B12D0"/>
    <w:rsid w:val="009B1B5F"/>
    <w:rsid w:val="009B3837"/>
    <w:rsid w:val="009B4654"/>
    <w:rsid w:val="009B6673"/>
    <w:rsid w:val="009C191B"/>
    <w:rsid w:val="009C2BD6"/>
    <w:rsid w:val="009D2F52"/>
    <w:rsid w:val="009E16D2"/>
    <w:rsid w:val="009E1F32"/>
    <w:rsid w:val="009E44E6"/>
    <w:rsid w:val="009E6DBF"/>
    <w:rsid w:val="009E776C"/>
    <w:rsid w:val="009F6EF9"/>
    <w:rsid w:val="00A00672"/>
    <w:rsid w:val="00A00AE5"/>
    <w:rsid w:val="00A132AD"/>
    <w:rsid w:val="00A158E3"/>
    <w:rsid w:val="00A1726E"/>
    <w:rsid w:val="00A17B7B"/>
    <w:rsid w:val="00A204CF"/>
    <w:rsid w:val="00A21624"/>
    <w:rsid w:val="00A23D49"/>
    <w:rsid w:val="00A24B0F"/>
    <w:rsid w:val="00A25623"/>
    <w:rsid w:val="00A27004"/>
    <w:rsid w:val="00A30C29"/>
    <w:rsid w:val="00A34257"/>
    <w:rsid w:val="00A34B62"/>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3F23"/>
    <w:rsid w:val="00A75785"/>
    <w:rsid w:val="00A8094B"/>
    <w:rsid w:val="00A82359"/>
    <w:rsid w:val="00A82944"/>
    <w:rsid w:val="00A865D2"/>
    <w:rsid w:val="00A87676"/>
    <w:rsid w:val="00A92B72"/>
    <w:rsid w:val="00A94C20"/>
    <w:rsid w:val="00AA227F"/>
    <w:rsid w:val="00AA3997"/>
    <w:rsid w:val="00AA3B14"/>
    <w:rsid w:val="00AA3BC7"/>
    <w:rsid w:val="00AA6924"/>
    <w:rsid w:val="00AA754A"/>
    <w:rsid w:val="00AB099E"/>
    <w:rsid w:val="00AB4328"/>
    <w:rsid w:val="00AB4DE3"/>
    <w:rsid w:val="00AB5628"/>
    <w:rsid w:val="00AC00C2"/>
    <w:rsid w:val="00AC1CF7"/>
    <w:rsid w:val="00AC5872"/>
    <w:rsid w:val="00AC7499"/>
    <w:rsid w:val="00AD2473"/>
    <w:rsid w:val="00AE0A2E"/>
    <w:rsid w:val="00AE1DB5"/>
    <w:rsid w:val="00AE354C"/>
    <w:rsid w:val="00AF31F1"/>
    <w:rsid w:val="00AF3CA1"/>
    <w:rsid w:val="00AF48BE"/>
    <w:rsid w:val="00AF4B07"/>
    <w:rsid w:val="00AF6186"/>
    <w:rsid w:val="00AF7A3A"/>
    <w:rsid w:val="00B009F4"/>
    <w:rsid w:val="00B00F3D"/>
    <w:rsid w:val="00B03D88"/>
    <w:rsid w:val="00B160DB"/>
    <w:rsid w:val="00B20836"/>
    <w:rsid w:val="00B21BE0"/>
    <w:rsid w:val="00B235BB"/>
    <w:rsid w:val="00B25320"/>
    <w:rsid w:val="00B25943"/>
    <w:rsid w:val="00B25D3B"/>
    <w:rsid w:val="00B26FFE"/>
    <w:rsid w:val="00B27A44"/>
    <w:rsid w:val="00B30BBF"/>
    <w:rsid w:val="00B338A9"/>
    <w:rsid w:val="00B33C03"/>
    <w:rsid w:val="00B44E56"/>
    <w:rsid w:val="00B46543"/>
    <w:rsid w:val="00B47D33"/>
    <w:rsid w:val="00B506EB"/>
    <w:rsid w:val="00B52BE0"/>
    <w:rsid w:val="00B54133"/>
    <w:rsid w:val="00B55E67"/>
    <w:rsid w:val="00B6166E"/>
    <w:rsid w:val="00B652A1"/>
    <w:rsid w:val="00B701ED"/>
    <w:rsid w:val="00B751F4"/>
    <w:rsid w:val="00B8086C"/>
    <w:rsid w:val="00B840F7"/>
    <w:rsid w:val="00B861B4"/>
    <w:rsid w:val="00B86DFE"/>
    <w:rsid w:val="00B90990"/>
    <w:rsid w:val="00B922FF"/>
    <w:rsid w:val="00B9281E"/>
    <w:rsid w:val="00B93925"/>
    <w:rsid w:val="00B95187"/>
    <w:rsid w:val="00B95E97"/>
    <w:rsid w:val="00BA2D55"/>
    <w:rsid w:val="00BA5BBA"/>
    <w:rsid w:val="00BA71B1"/>
    <w:rsid w:val="00BB0637"/>
    <w:rsid w:val="00BB2DE3"/>
    <w:rsid w:val="00BB345F"/>
    <w:rsid w:val="00BB5CA3"/>
    <w:rsid w:val="00BB68EA"/>
    <w:rsid w:val="00BC1C27"/>
    <w:rsid w:val="00BC1F03"/>
    <w:rsid w:val="00BC52B7"/>
    <w:rsid w:val="00BC6BBF"/>
    <w:rsid w:val="00BD1572"/>
    <w:rsid w:val="00BE14E3"/>
    <w:rsid w:val="00BE3774"/>
    <w:rsid w:val="00BE41E5"/>
    <w:rsid w:val="00BF1F39"/>
    <w:rsid w:val="00BF4109"/>
    <w:rsid w:val="00BF46AE"/>
    <w:rsid w:val="00BF4B9C"/>
    <w:rsid w:val="00BF4CC3"/>
    <w:rsid w:val="00BF72F1"/>
    <w:rsid w:val="00C00E59"/>
    <w:rsid w:val="00C02B2D"/>
    <w:rsid w:val="00C054C7"/>
    <w:rsid w:val="00C057B5"/>
    <w:rsid w:val="00C149F0"/>
    <w:rsid w:val="00C22687"/>
    <w:rsid w:val="00C25983"/>
    <w:rsid w:val="00C311F0"/>
    <w:rsid w:val="00C32E4D"/>
    <w:rsid w:val="00C333A0"/>
    <w:rsid w:val="00C36408"/>
    <w:rsid w:val="00C36A81"/>
    <w:rsid w:val="00C41974"/>
    <w:rsid w:val="00C436B9"/>
    <w:rsid w:val="00C44DC4"/>
    <w:rsid w:val="00C45616"/>
    <w:rsid w:val="00C53F4A"/>
    <w:rsid w:val="00C54125"/>
    <w:rsid w:val="00C55AD0"/>
    <w:rsid w:val="00C55B54"/>
    <w:rsid w:val="00C57997"/>
    <w:rsid w:val="00C6098E"/>
    <w:rsid w:val="00C6152C"/>
    <w:rsid w:val="00C678AF"/>
    <w:rsid w:val="00C74810"/>
    <w:rsid w:val="00C7482C"/>
    <w:rsid w:val="00C77601"/>
    <w:rsid w:val="00C7773E"/>
    <w:rsid w:val="00C77FB4"/>
    <w:rsid w:val="00C81ACF"/>
    <w:rsid w:val="00C83F6C"/>
    <w:rsid w:val="00C84235"/>
    <w:rsid w:val="00C90D68"/>
    <w:rsid w:val="00C91071"/>
    <w:rsid w:val="00C939FE"/>
    <w:rsid w:val="00C949F0"/>
    <w:rsid w:val="00C962FA"/>
    <w:rsid w:val="00CA4BDA"/>
    <w:rsid w:val="00CA553F"/>
    <w:rsid w:val="00CA7C61"/>
    <w:rsid w:val="00CB06CA"/>
    <w:rsid w:val="00CB1F66"/>
    <w:rsid w:val="00CB2951"/>
    <w:rsid w:val="00CC2212"/>
    <w:rsid w:val="00CD282B"/>
    <w:rsid w:val="00CD4C35"/>
    <w:rsid w:val="00CD5B53"/>
    <w:rsid w:val="00CD7369"/>
    <w:rsid w:val="00CE0B0E"/>
    <w:rsid w:val="00CE3831"/>
    <w:rsid w:val="00CF05BC"/>
    <w:rsid w:val="00CF3041"/>
    <w:rsid w:val="00D00ABB"/>
    <w:rsid w:val="00D02781"/>
    <w:rsid w:val="00D02EEC"/>
    <w:rsid w:val="00D03551"/>
    <w:rsid w:val="00D06A63"/>
    <w:rsid w:val="00D07E0E"/>
    <w:rsid w:val="00D10851"/>
    <w:rsid w:val="00D11478"/>
    <w:rsid w:val="00D15ED0"/>
    <w:rsid w:val="00D177F2"/>
    <w:rsid w:val="00D21B3E"/>
    <w:rsid w:val="00D21C26"/>
    <w:rsid w:val="00D21FED"/>
    <w:rsid w:val="00D24251"/>
    <w:rsid w:val="00D24EC8"/>
    <w:rsid w:val="00D25B7D"/>
    <w:rsid w:val="00D343E2"/>
    <w:rsid w:val="00D34E5B"/>
    <w:rsid w:val="00D361A2"/>
    <w:rsid w:val="00D36951"/>
    <w:rsid w:val="00D4220A"/>
    <w:rsid w:val="00D423A5"/>
    <w:rsid w:val="00D44607"/>
    <w:rsid w:val="00D44C2E"/>
    <w:rsid w:val="00D45414"/>
    <w:rsid w:val="00D54FF1"/>
    <w:rsid w:val="00D55E2C"/>
    <w:rsid w:val="00D566BD"/>
    <w:rsid w:val="00D57A4D"/>
    <w:rsid w:val="00D60AA7"/>
    <w:rsid w:val="00D62A67"/>
    <w:rsid w:val="00D642D8"/>
    <w:rsid w:val="00D6435F"/>
    <w:rsid w:val="00D70A2E"/>
    <w:rsid w:val="00D747CE"/>
    <w:rsid w:val="00D75E28"/>
    <w:rsid w:val="00D772C2"/>
    <w:rsid w:val="00D8008E"/>
    <w:rsid w:val="00D82C45"/>
    <w:rsid w:val="00D908A8"/>
    <w:rsid w:val="00D977B6"/>
    <w:rsid w:val="00DA1849"/>
    <w:rsid w:val="00DA3634"/>
    <w:rsid w:val="00DA4A31"/>
    <w:rsid w:val="00DA7B04"/>
    <w:rsid w:val="00DB2FE2"/>
    <w:rsid w:val="00DB3479"/>
    <w:rsid w:val="00DB36C2"/>
    <w:rsid w:val="00DB5CBD"/>
    <w:rsid w:val="00DB623E"/>
    <w:rsid w:val="00DB6C64"/>
    <w:rsid w:val="00DC169B"/>
    <w:rsid w:val="00DC2AB9"/>
    <w:rsid w:val="00DC63F0"/>
    <w:rsid w:val="00DD0B52"/>
    <w:rsid w:val="00DD5382"/>
    <w:rsid w:val="00DD6EE5"/>
    <w:rsid w:val="00DE1DDA"/>
    <w:rsid w:val="00DE2362"/>
    <w:rsid w:val="00DE386C"/>
    <w:rsid w:val="00DE4D35"/>
    <w:rsid w:val="00DF098B"/>
    <w:rsid w:val="00DF0C2B"/>
    <w:rsid w:val="00DF11C4"/>
    <w:rsid w:val="00DF197A"/>
    <w:rsid w:val="00DF210C"/>
    <w:rsid w:val="00DF4B6A"/>
    <w:rsid w:val="00E02883"/>
    <w:rsid w:val="00E02C09"/>
    <w:rsid w:val="00E04D59"/>
    <w:rsid w:val="00E075A7"/>
    <w:rsid w:val="00E07DA1"/>
    <w:rsid w:val="00E10D18"/>
    <w:rsid w:val="00E123CB"/>
    <w:rsid w:val="00E13D88"/>
    <w:rsid w:val="00E164AE"/>
    <w:rsid w:val="00E20C92"/>
    <w:rsid w:val="00E20E13"/>
    <w:rsid w:val="00E21338"/>
    <w:rsid w:val="00E21DBC"/>
    <w:rsid w:val="00E23327"/>
    <w:rsid w:val="00E275D7"/>
    <w:rsid w:val="00E27DBE"/>
    <w:rsid w:val="00E32AB1"/>
    <w:rsid w:val="00E36C71"/>
    <w:rsid w:val="00E40404"/>
    <w:rsid w:val="00E459C6"/>
    <w:rsid w:val="00E47589"/>
    <w:rsid w:val="00E47F73"/>
    <w:rsid w:val="00E47FD5"/>
    <w:rsid w:val="00E54ED5"/>
    <w:rsid w:val="00E5758D"/>
    <w:rsid w:val="00E64915"/>
    <w:rsid w:val="00E661D4"/>
    <w:rsid w:val="00E70091"/>
    <w:rsid w:val="00E720F5"/>
    <w:rsid w:val="00E76D47"/>
    <w:rsid w:val="00E849F7"/>
    <w:rsid w:val="00E90302"/>
    <w:rsid w:val="00E97396"/>
    <w:rsid w:val="00E977E4"/>
    <w:rsid w:val="00EA185E"/>
    <w:rsid w:val="00EA592A"/>
    <w:rsid w:val="00EB14E4"/>
    <w:rsid w:val="00EB182B"/>
    <w:rsid w:val="00EB32A5"/>
    <w:rsid w:val="00EB34ED"/>
    <w:rsid w:val="00EB4A37"/>
    <w:rsid w:val="00EB4FD3"/>
    <w:rsid w:val="00EB7BE0"/>
    <w:rsid w:val="00EC315E"/>
    <w:rsid w:val="00EC58D1"/>
    <w:rsid w:val="00EC635D"/>
    <w:rsid w:val="00ED077C"/>
    <w:rsid w:val="00ED1190"/>
    <w:rsid w:val="00ED397C"/>
    <w:rsid w:val="00ED6544"/>
    <w:rsid w:val="00EE0277"/>
    <w:rsid w:val="00EE37EE"/>
    <w:rsid w:val="00EE3E00"/>
    <w:rsid w:val="00EE5DD2"/>
    <w:rsid w:val="00EF34CB"/>
    <w:rsid w:val="00F00A79"/>
    <w:rsid w:val="00F00E86"/>
    <w:rsid w:val="00F03374"/>
    <w:rsid w:val="00F07C1E"/>
    <w:rsid w:val="00F105DB"/>
    <w:rsid w:val="00F1208B"/>
    <w:rsid w:val="00F132BC"/>
    <w:rsid w:val="00F13D80"/>
    <w:rsid w:val="00F16AAA"/>
    <w:rsid w:val="00F20B6A"/>
    <w:rsid w:val="00F21161"/>
    <w:rsid w:val="00F218EF"/>
    <w:rsid w:val="00F21BC7"/>
    <w:rsid w:val="00F25EFC"/>
    <w:rsid w:val="00F266A2"/>
    <w:rsid w:val="00F2735E"/>
    <w:rsid w:val="00F27D13"/>
    <w:rsid w:val="00F32269"/>
    <w:rsid w:val="00F36F8B"/>
    <w:rsid w:val="00F404CB"/>
    <w:rsid w:val="00F411AA"/>
    <w:rsid w:val="00F428DD"/>
    <w:rsid w:val="00F43905"/>
    <w:rsid w:val="00F50C25"/>
    <w:rsid w:val="00F50CC4"/>
    <w:rsid w:val="00F51E6E"/>
    <w:rsid w:val="00F53394"/>
    <w:rsid w:val="00F542C7"/>
    <w:rsid w:val="00F56A6F"/>
    <w:rsid w:val="00F5709C"/>
    <w:rsid w:val="00F626DA"/>
    <w:rsid w:val="00F64EF1"/>
    <w:rsid w:val="00F659F3"/>
    <w:rsid w:val="00F72D9F"/>
    <w:rsid w:val="00F83589"/>
    <w:rsid w:val="00F8765F"/>
    <w:rsid w:val="00F90767"/>
    <w:rsid w:val="00F912E4"/>
    <w:rsid w:val="00F938CB"/>
    <w:rsid w:val="00F94531"/>
    <w:rsid w:val="00F9588E"/>
    <w:rsid w:val="00F97BA2"/>
    <w:rsid w:val="00FA141B"/>
    <w:rsid w:val="00FA685B"/>
    <w:rsid w:val="00FB0C01"/>
    <w:rsid w:val="00FB0C21"/>
    <w:rsid w:val="00FC04E5"/>
    <w:rsid w:val="00FC11D5"/>
    <w:rsid w:val="00FC18F2"/>
    <w:rsid w:val="00FC39E5"/>
    <w:rsid w:val="00FC3A78"/>
    <w:rsid w:val="00FC5A4C"/>
    <w:rsid w:val="00FC639A"/>
    <w:rsid w:val="00FD1005"/>
    <w:rsid w:val="00FD61AA"/>
    <w:rsid w:val="00FD68AB"/>
    <w:rsid w:val="00FD6C75"/>
    <w:rsid w:val="00FD7649"/>
    <w:rsid w:val="00FE2672"/>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70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E6CA5"/>
    <w:rPr>
      <w:sz w:val="24"/>
      <w:szCs w:val="24"/>
      <w:lang w:val="fr-FR"/>
    </w:rPr>
  </w:style>
  <w:style w:type="paragraph" w:styleId="Heading1">
    <w:name w:val="heading 1"/>
    <w:basedOn w:val="Normal"/>
    <w:next w:val="Normal"/>
    <w:link w:val="Heading1Char"/>
    <w:uiPriority w:val="98"/>
    <w:semiHidden/>
    <w:rsid w:val="001E6CA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1E6CA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1E6CA5"/>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1E6CA5"/>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1E6CA5"/>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1E6CA5"/>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1E6CA5"/>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1E6CA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1E6CA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1E6CA5"/>
    <w:rPr>
      <w:rFonts w:ascii="Tahoma" w:hAnsi="Tahoma" w:cs="Tahoma"/>
      <w:sz w:val="16"/>
      <w:szCs w:val="16"/>
    </w:rPr>
  </w:style>
  <w:style w:type="character" w:customStyle="1" w:styleId="BalloonTextChar">
    <w:name w:val="Balloon Text Char"/>
    <w:basedOn w:val="DefaultParagraphFont"/>
    <w:link w:val="BalloonText"/>
    <w:uiPriority w:val="98"/>
    <w:semiHidden/>
    <w:rsid w:val="001E6CA5"/>
    <w:rPr>
      <w:rFonts w:ascii="Tahoma" w:hAnsi="Tahoma" w:cs="Tahoma"/>
      <w:sz w:val="16"/>
      <w:szCs w:val="16"/>
      <w:lang w:val="fr-FR"/>
    </w:rPr>
  </w:style>
  <w:style w:type="character" w:styleId="BookTitle">
    <w:name w:val="Book Title"/>
    <w:uiPriority w:val="98"/>
    <w:semiHidden/>
    <w:qFormat/>
    <w:rsid w:val="001E6CA5"/>
    <w:rPr>
      <w:i/>
      <w:iCs/>
      <w:smallCaps/>
      <w:spacing w:val="5"/>
    </w:rPr>
  </w:style>
  <w:style w:type="paragraph" w:customStyle="1" w:styleId="JuHeader">
    <w:name w:val="Ju_Header"/>
    <w:aliases w:val="_Header"/>
    <w:basedOn w:val="Header"/>
    <w:uiPriority w:val="29"/>
    <w:qFormat/>
    <w:rsid w:val="001E6CA5"/>
    <w:pPr>
      <w:tabs>
        <w:tab w:val="clear" w:pos="4536"/>
        <w:tab w:val="clear" w:pos="9072"/>
      </w:tabs>
      <w:jc w:val="center"/>
    </w:pPr>
    <w:rPr>
      <w:sz w:val="18"/>
    </w:rPr>
  </w:style>
  <w:style w:type="paragraph" w:customStyle="1" w:styleId="DummyStyle">
    <w:name w:val="Dummy_Style"/>
    <w:aliases w:val="_Dummy"/>
    <w:basedOn w:val="Normal"/>
    <w:semiHidden/>
    <w:qFormat/>
    <w:rsid w:val="001E6CA5"/>
    <w:rPr>
      <w:color w:val="00B050"/>
      <w:sz w:val="22"/>
    </w:rPr>
  </w:style>
  <w:style w:type="character" w:styleId="Strong">
    <w:name w:val="Strong"/>
    <w:uiPriority w:val="98"/>
    <w:semiHidden/>
    <w:qFormat/>
    <w:rsid w:val="001E6CA5"/>
    <w:rPr>
      <w:b/>
      <w:bCs/>
    </w:rPr>
  </w:style>
  <w:style w:type="paragraph" w:styleId="NoSpacing">
    <w:name w:val="No Spacing"/>
    <w:basedOn w:val="Normal"/>
    <w:link w:val="NoSpacingChar"/>
    <w:uiPriority w:val="98"/>
    <w:semiHidden/>
    <w:qFormat/>
    <w:rsid w:val="001E6CA5"/>
  </w:style>
  <w:style w:type="character" w:customStyle="1" w:styleId="NoSpacingChar">
    <w:name w:val="No Spacing Char"/>
    <w:basedOn w:val="DefaultParagraphFont"/>
    <w:link w:val="NoSpacing"/>
    <w:uiPriority w:val="98"/>
    <w:semiHidden/>
    <w:rsid w:val="001E6CA5"/>
    <w:rPr>
      <w:sz w:val="24"/>
      <w:szCs w:val="24"/>
      <w:lang w:val="fr-FR"/>
    </w:rPr>
  </w:style>
  <w:style w:type="paragraph" w:customStyle="1" w:styleId="JuQuot">
    <w:name w:val="Ju_Quot"/>
    <w:aliases w:val="_Quote"/>
    <w:basedOn w:val="NormalJustified"/>
    <w:uiPriority w:val="20"/>
    <w:qFormat/>
    <w:rsid w:val="001E6CA5"/>
    <w:pPr>
      <w:spacing w:before="120" w:after="120"/>
      <w:ind w:left="425" w:firstLine="142"/>
    </w:pPr>
    <w:rPr>
      <w:sz w:val="20"/>
    </w:rPr>
  </w:style>
  <w:style w:type="paragraph" w:customStyle="1" w:styleId="JuList">
    <w:name w:val="Ju_List"/>
    <w:aliases w:val="_List_1"/>
    <w:basedOn w:val="NormalJustified"/>
    <w:uiPriority w:val="23"/>
    <w:qFormat/>
    <w:rsid w:val="001E6CA5"/>
    <w:pPr>
      <w:numPr>
        <w:numId w:val="17"/>
      </w:numPr>
      <w:spacing w:before="280" w:after="60"/>
    </w:pPr>
  </w:style>
  <w:style w:type="paragraph" w:customStyle="1" w:styleId="JuLista">
    <w:name w:val="Ju_List_a"/>
    <w:aliases w:val="_List_2"/>
    <w:basedOn w:val="NormalJustified"/>
    <w:uiPriority w:val="23"/>
    <w:rsid w:val="001E6CA5"/>
    <w:pPr>
      <w:numPr>
        <w:ilvl w:val="1"/>
        <w:numId w:val="17"/>
      </w:numPr>
    </w:pPr>
  </w:style>
  <w:style w:type="paragraph" w:customStyle="1" w:styleId="JuListi">
    <w:name w:val="Ju_List_i"/>
    <w:aliases w:val="_List_3"/>
    <w:basedOn w:val="NormalJustified"/>
    <w:uiPriority w:val="23"/>
    <w:rsid w:val="001E6CA5"/>
    <w:pPr>
      <w:numPr>
        <w:ilvl w:val="2"/>
        <w:numId w:val="17"/>
      </w:numPr>
    </w:pPr>
  </w:style>
  <w:style w:type="paragraph" w:customStyle="1" w:styleId="DecHTitle">
    <w:name w:val="Dec_H_Title"/>
    <w:aliases w:val="_Title_1"/>
    <w:basedOn w:val="JuPara"/>
    <w:next w:val="JuPara"/>
    <w:uiPriority w:val="38"/>
    <w:qFormat/>
    <w:rsid w:val="001E6CA5"/>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1E6CA5"/>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1E6CA5"/>
    <w:pPr>
      <w:keepNext/>
      <w:keepLines/>
      <w:tabs>
        <w:tab w:val="right" w:pos="7938"/>
      </w:tabs>
      <w:ind w:firstLine="0"/>
      <w:jc w:val="center"/>
    </w:pPr>
    <w:rPr>
      <w:i/>
    </w:rPr>
  </w:style>
  <w:style w:type="numbering" w:customStyle="1" w:styleId="ECHRA1StyleBulletedSquare">
    <w:name w:val="ECHR_A1_Style_Bulleted_Square"/>
    <w:basedOn w:val="NoList"/>
    <w:rsid w:val="001E6CA5"/>
    <w:pPr>
      <w:numPr>
        <w:numId w:val="16"/>
      </w:numPr>
    </w:pPr>
  </w:style>
  <w:style w:type="paragraph" w:customStyle="1" w:styleId="JuHHead">
    <w:name w:val="Ju_H_Head"/>
    <w:aliases w:val="_Head_1"/>
    <w:basedOn w:val="Heading1"/>
    <w:next w:val="JuPara"/>
    <w:uiPriority w:val="17"/>
    <w:qFormat/>
    <w:rsid w:val="001E6CA5"/>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1E6CA5"/>
    <w:pPr>
      <w:numPr>
        <w:numId w:val="19"/>
      </w:numPr>
    </w:pPr>
  </w:style>
  <w:style w:type="paragraph" w:customStyle="1" w:styleId="JuSigned">
    <w:name w:val="Ju_Signed"/>
    <w:aliases w:val="_Signature"/>
    <w:basedOn w:val="Normal"/>
    <w:next w:val="JuPara"/>
    <w:uiPriority w:val="31"/>
    <w:qFormat/>
    <w:rsid w:val="001E6CA5"/>
    <w:pPr>
      <w:tabs>
        <w:tab w:val="center" w:pos="1418"/>
        <w:tab w:val="center" w:pos="5954"/>
      </w:tabs>
      <w:spacing w:before="720"/>
    </w:pPr>
  </w:style>
  <w:style w:type="paragraph" w:styleId="Title">
    <w:name w:val="Title"/>
    <w:basedOn w:val="Normal"/>
    <w:next w:val="Normal"/>
    <w:link w:val="TitleChar"/>
    <w:uiPriority w:val="98"/>
    <w:semiHidden/>
    <w:qFormat/>
    <w:rsid w:val="001E6CA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1E6CA5"/>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1E6CA5"/>
    <w:pPr>
      <w:numPr>
        <w:numId w:val="18"/>
      </w:numPr>
    </w:pPr>
  </w:style>
  <w:style w:type="table" w:customStyle="1" w:styleId="ECHRTable2019">
    <w:name w:val="ECHR_Table_2019"/>
    <w:basedOn w:val="TableNormal"/>
    <w:uiPriority w:val="99"/>
    <w:rsid w:val="001E6CA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1E6CA5"/>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1E6CA5"/>
    <w:pPr>
      <w:tabs>
        <w:tab w:val="center" w:pos="6407"/>
      </w:tabs>
      <w:spacing w:before="720"/>
      <w:jc w:val="right"/>
    </w:pPr>
  </w:style>
  <w:style w:type="paragraph" w:customStyle="1" w:styleId="JuHIRoman">
    <w:name w:val="Ju_H_I_Roman"/>
    <w:aliases w:val="_Head_2"/>
    <w:basedOn w:val="Heading2"/>
    <w:next w:val="JuPara"/>
    <w:link w:val="JuHIRomanChar"/>
    <w:uiPriority w:val="17"/>
    <w:qFormat/>
    <w:rsid w:val="001E6CA5"/>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link w:val="JuHAChar"/>
    <w:uiPriority w:val="17"/>
    <w:qFormat/>
    <w:rsid w:val="001E6CA5"/>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1E6CA5"/>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1E6CA5"/>
    <w:pPr>
      <w:tabs>
        <w:tab w:val="center" w:pos="4536"/>
        <w:tab w:val="right" w:pos="9072"/>
      </w:tabs>
    </w:pPr>
  </w:style>
  <w:style w:type="character" w:customStyle="1" w:styleId="HeaderChar">
    <w:name w:val="Header Char"/>
    <w:basedOn w:val="DefaultParagraphFont"/>
    <w:link w:val="Header"/>
    <w:uiPriority w:val="98"/>
    <w:semiHidden/>
    <w:rsid w:val="001E6CA5"/>
    <w:rPr>
      <w:sz w:val="24"/>
      <w:szCs w:val="24"/>
      <w:lang w:val="fr-FR"/>
    </w:rPr>
  </w:style>
  <w:style w:type="character" w:customStyle="1" w:styleId="Heading1Char">
    <w:name w:val="Heading 1 Char"/>
    <w:basedOn w:val="DefaultParagraphFont"/>
    <w:link w:val="Heading1"/>
    <w:uiPriority w:val="98"/>
    <w:semiHidden/>
    <w:rsid w:val="001E6CA5"/>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1E6CA5"/>
    <w:pPr>
      <w:keepNext/>
      <w:keepLines/>
      <w:numPr>
        <w:ilvl w:val="4"/>
        <w:numId w:val="15"/>
      </w:numPr>
      <w:spacing w:before="100" w:beforeAutospacing="1" w:after="120"/>
      <w:jc w:val="both"/>
    </w:pPr>
    <w:rPr>
      <w:color w:val="auto"/>
      <w:sz w:val="20"/>
    </w:rPr>
  </w:style>
  <w:style w:type="paragraph" w:customStyle="1" w:styleId="JuHi">
    <w:name w:val="Ju_H_i"/>
    <w:aliases w:val="_Head_6"/>
    <w:basedOn w:val="Heading6"/>
    <w:next w:val="JuPara"/>
    <w:uiPriority w:val="17"/>
    <w:rsid w:val="001E6CA5"/>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1E6CA5"/>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1E6CA5"/>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1E6CA5"/>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1E6CA5"/>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1E6CA5"/>
    <w:pPr>
      <w:keepNext/>
      <w:keepLines/>
      <w:spacing w:before="240" w:after="240"/>
      <w:ind w:firstLine="284"/>
    </w:pPr>
  </w:style>
  <w:style w:type="paragraph" w:customStyle="1" w:styleId="JuJudges">
    <w:name w:val="Ju_Judges"/>
    <w:aliases w:val="_Judges"/>
    <w:basedOn w:val="Normal"/>
    <w:uiPriority w:val="32"/>
    <w:qFormat/>
    <w:rsid w:val="001E6CA5"/>
    <w:pPr>
      <w:tabs>
        <w:tab w:val="left" w:pos="567"/>
        <w:tab w:val="left" w:pos="1134"/>
      </w:tabs>
    </w:pPr>
  </w:style>
  <w:style w:type="character" w:customStyle="1" w:styleId="Heading4Char">
    <w:name w:val="Heading 4 Char"/>
    <w:basedOn w:val="DefaultParagraphFont"/>
    <w:link w:val="Heading4"/>
    <w:uiPriority w:val="98"/>
    <w:semiHidden/>
    <w:rsid w:val="001E6CA5"/>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1E6CA5"/>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1E6CA5"/>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1E6CA5"/>
    <w:rPr>
      <w:caps w:val="0"/>
      <w:smallCaps/>
    </w:rPr>
  </w:style>
  <w:style w:type="paragraph" w:customStyle="1" w:styleId="NormalJustified">
    <w:name w:val="Normal_Justified"/>
    <w:basedOn w:val="Normal"/>
    <w:semiHidden/>
    <w:rsid w:val="001E6CA5"/>
    <w:pPr>
      <w:jc w:val="both"/>
    </w:pPr>
  </w:style>
  <w:style w:type="character" w:styleId="SubtleEmphasis">
    <w:name w:val="Subtle Emphasis"/>
    <w:uiPriority w:val="98"/>
    <w:semiHidden/>
    <w:qFormat/>
    <w:rsid w:val="001E6CA5"/>
    <w:rPr>
      <w:i/>
      <w:iCs/>
    </w:rPr>
  </w:style>
  <w:style w:type="table" w:customStyle="1" w:styleId="ECHRTable">
    <w:name w:val="ECHR_Table"/>
    <w:basedOn w:val="TableNormal"/>
    <w:rsid w:val="001E6CA5"/>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1E6CA5"/>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1E6CA5"/>
    <w:rPr>
      <w:b/>
      <w:bCs/>
      <w:i/>
      <w:iCs/>
      <w:spacing w:val="10"/>
      <w:bdr w:val="none" w:sz="0" w:space="0" w:color="auto"/>
      <w:shd w:val="clear" w:color="auto" w:fill="auto"/>
    </w:rPr>
  </w:style>
  <w:style w:type="paragraph" w:styleId="Footer0">
    <w:name w:val="footer"/>
    <w:basedOn w:val="Normal"/>
    <w:link w:val="FooterChar"/>
    <w:uiPriority w:val="98"/>
    <w:semiHidden/>
    <w:rsid w:val="001E6CA5"/>
    <w:pPr>
      <w:tabs>
        <w:tab w:val="center" w:pos="3686"/>
        <w:tab w:val="right" w:pos="7371"/>
      </w:tabs>
    </w:pPr>
  </w:style>
  <w:style w:type="character" w:customStyle="1" w:styleId="FooterChar">
    <w:name w:val="Footer Char"/>
    <w:basedOn w:val="DefaultParagraphFont"/>
    <w:link w:val="Footer0"/>
    <w:uiPriority w:val="98"/>
    <w:semiHidden/>
    <w:rsid w:val="001E6CA5"/>
    <w:rPr>
      <w:sz w:val="24"/>
      <w:szCs w:val="24"/>
      <w:lang w:val="fr-FR"/>
    </w:rPr>
  </w:style>
  <w:style w:type="character" w:styleId="FootnoteReference">
    <w:name w:val="footnote reference"/>
    <w:basedOn w:val="DefaultParagraphFont"/>
    <w:uiPriority w:val="98"/>
    <w:semiHidden/>
    <w:rsid w:val="001E6CA5"/>
    <w:rPr>
      <w:vertAlign w:val="superscript"/>
    </w:rPr>
  </w:style>
  <w:style w:type="paragraph" w:styleId="FootnoteText">
    <w:name w:val="footnote text"/>
    <w:basedOn w:val="NormalJustified"/>
    <w:link w:val="FootnoteTextChar"/>
    <w:uiPriority w:val="98"/>
    <w:semiHidden/>
    <w:rsid w:val="001E6CA5"/>
    <w:rPr>
      <w:sz w:val="20"/>
      <w:szCs w:val="20"/>
    </w:rPr>
  </w:style>
  <w:style w:type="character" w:customStyle="1" w:styleId="FootnoteTextChar">
    <w:name w:val="Footnote Text Char"/>
    <w:basedOn w:val="DefaultParagraphFont"/>
    <w:link w:val="FootnoteText"/>
    <w:uiPriority w:val="98"/>
    <w:semiHidden/>
    <w:rsid w:val="001E6CA5"/>
    <w:rPr>
      <w:sz w:val="20"/>
      <w:szCs w:val="20"/>
      <w:lang w:val="fr-FR"/>
    </w:rPr>
  </w:style>
  <w:style w:type="character" w:customStyle="1" w:styleId="Heading6Char">
    <w:name w:val="Heading 6 Char"/>
    <w:basedOn w:val="DefaultParagraphFont"/>
    <w:link w:val="Heading6"/>
    <w:uiPriority w:val="98"/>
    <w:semiHidden/>
    <w:rsid w:val="001E6CA5"/>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1E6CA5"/>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1E6CA5"/>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1E6CA5"/>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1E6CA5"/>
    <w:rPr>
      <w:color w:val="0072BC" w:themeColor="hyperlink"/>
      <w:u w:val="single"/>
    </w:rPr>
  </w:style>
  <w:style w:type="character" w:styleId="IntenseEmphasis">
    <w:name w:val="Intense Emphasis"/>
    <w:uiPriority w:val="98"/>
    <w:semiHidden/>
    <w:qFormat/>
    <w:rsid w:val="001E6CA5"/>
    <w:rPr>
      <w:b/>
      <w:bCs/>
    </w:rPr>
  </w:style>
  <w:style w:type="paragraph" w:styleId="IntenseQuote">
    <w:name w:val="Intense Quote"/>
    <w:basedOn w:val="Normal"/>
    <w:next w:val="Normal"/>
    <w:link w:val="IntenseQuoteChar"/>
    <w:uiPriority w:val="98"/>
    <w:semiHidden/>
    <w:qFormat/>
    <w:rsid w:val="001E6CA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1E6CA5"/>
    <w:rPr>
      <w:b/>
      <w:bCs/>
      <w:i/>
      <w:iCs/>
      <w:sz w:val="24"/>
      <w:szCs w:val="24"/>
      <w:lang w:val="fr-FR" w:bidi="en-US"/>
    </w:rPr>
  </w:style>
  <w:style w:type="character" w:styleId="IntenseReference">
    <w:name w:val="Intense Reference"/>
    <w:uiPriority w:val="98"/>
    <w:semiHidden/>
    <w:qFormat/>
    <w:rsid w:val="001E6CA5"/>
    <w:rPr>
      <w:smallCaps/>
      <w:spacing w:val="5"/>
      <w:u w:val="single"/>
    </w:rPr>
  </w:style>
  <w:style w:type="paragraph" w:styleId="ListParagraph">
    <w:name w:val="List Paragraph"/>
    <w:basedOn w:val="Normal"/>
    <w:uiPriority w:val="98"/>
    <w:semiHidden/>
    <w:qFormat/>
    <w:rsid w:val="001E6CA5"/>
    <w:pPr>
      <w:ind w:left="720"/>
      <w:contextualSpacing/>
    </w:pPr>
  </w:style>
  <w:style w:type="table" w:customStyle="1" w:styleId="LtrTableAddress">
    <w:name w:val="Ltr_Table_Address"/>
    <w:aliases w:val="ECHR_Ltr_Table_Address"/>
    <w:basedOn w:val="TableNormal"/>
    <w:uiPriority w:val="99"/>
    <w:rsid w:val="001E6CA5"/>
    <w:rPr>
      <w:sz w:val="24"/>
      <w:szCs w:val="24"/>
    </w:rPr>
    <w:tblPr>
      <w:tblInd w:w="5103" w:type="dxa"/>
    </w:tblPr>
  </w:style>
  <w:style w:type="paragraph" w:styleId="Quote">
    <w:name w:val="Quote"/>
    <w:basedOn w:val="Normal"/>
    <w:next w:val="Normal"/>
    <w:link w:val="QuoteChar"/>
    <w:uiPriority w:val="98"/>
    <w:semiHidden/>
    <w:qFormat/>
    <w:rsid w:val="001E6CA5"/>
    <w:pPr>
      <w:spacing w:before="200"/>
      <w:ind w:left="360" w:right="360"/>
    </w:pPr>
    <w:rPr>
      <w:i/>
      <w:iCs/>
      <w:lang w:bidi="en-US"/>
    </w:rPr>
  </w:style>
  <w:style w:type="character" w:customStyle="1" w:styleId="QuoteChar">
    <w:name w:val="Quote Char"/>
    <w:basedOn w:val="DefaultParagraphFont"/>
    <w:link w:val="Quote"/>
    <w:uiPriority w:val="98"/>
    <w:semiHidden/>
    <w:rsid w:val="001E6CA5"/>
    <w:rPr>
      <w:i/>
      <w:iCs/>
      <w:sz w:val="24"/>
      <w:szCs w:val="24"/>
      <w:lang w:val="fr-FR" w:bidi="en-US"/>
    </w:rPr>
  </w:style>
  <w:style w:type="character" w:styleId="SubtleReference">
    <w:name w:val="Subtle Reference"/>
    <w:uiPriority w:val="98"/>
    <w:semiHidden/>
    <w:qFormat/>
    <w:rsid w:val="001E6CA5"/>
    <w:rPr>
      <w:smallCaps/>
    </w:rPr>
  </w:style>
  <w:style w:type="table" w:styleId="TableGrid">
    <w:name w:val="Table Grid"/>
    <w:basedOn w:val="TableNormal"/>
    <w:uiPriority w:val="59"/>
    <w:semiHidden/>
    <w:rsid w:val="001E6CA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1E6CA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1E6CA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1E6CA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1E6CA5"/>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1E6CA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1E6CA5"/>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1E6CA5"/>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1E6CA5"/>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1E6CA5"/>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1E6CA5"/>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1E6CA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1E6CA5"/>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1E6CA5"/>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1E6CA5"/>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1E6CA5"/>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1E6CA5"/>
    <w:pPr>
      <w:numPr>
        <w:numId w:val="2"/>
      </w:numPr>
    </w:pPr>
  </w:style>
  <w:style w:type="paragraph" w:customStyle="1" w:styleId="JuPara">
    <w:name w:val="Ju_Para"/>
    <w:aliases w:val="_Para"/>
    <w:basedOn w:val="NormalJustified"/>
    <w:link w:val="JuParaChar"/>
    <w:uiPriority w:val="4"/>
    <w:qFormat/>
    <w:rsid w:val="001E6CA5"/>
    <w:pPr>
      <w:ind w:firstLine="284"/>
    </w:pPr>
  </w:style>
  <w:style w:type="numbering" w:styleId="1ai">
    <w:name w:val="Outline List 1"/>
    <w:basedOn w:val="NoList"/>
    <w:uiPriority w:val="99"/>
    <w:semiHidden/>
    <w:unhideWhenUsed/>
    <w:rsid w:val="001E6CA5"/>
    <w:pPr>
      <w:numPr>
        <w:numId w:val="3"/>
      </w:numPr>
    </w:pPr>
  </w:style>
  <w:style w:type="table" w:customStyle="1" w:styleId="ECHRTableSimpleBox">
    <w:name w:val="ECHR_Table_Simple_Box"/>
    <w:basedOn w:val="TableNormal"/>
    <w:uiPriority w:val="99"/>
    <w:rsid w:val="001E6CA5"/>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1E6CA5"/>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1E6CA5"/>
    <w:pPr>
      <w:numPr>
        <w:numId w:val="4"/>
      </w:numPr>
    </w:pPr>
  </w:style>
  <w:style w:type="table" w:customStyle="1" w:styleId="ECHRTableForInternalUse">
    <w:name w:val="ECHR_Table_For_Internal_Use"/>
    <w:basedOn w:val="TableNormal"/>
    <w:uiPriority w:val="99"/>
    <w:rsid w:val="001E6CA5"/>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E6CA5"/>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1E6CA5"/>
  </w:style>
  <w:style w:type="paragraph" w:styleId="BlockText">
    <w:name w:val="Block Text"/>
    <w:basedOn w:val="Normal"/>
    <w:uiPriority w:val="98"/>
    <w:semiHidden/>
    <w:rsid w:val="001E6CA5"/>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1E6CA5"/>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1E6CA5"/>
    <w:pPr>
      <w:spacing w:after="120"/>
    </w:pPr>
  </w:style>
  <w:style w:type="character" w:customStyle="1" w:styleId="BodyTextChar">
    <w:name w:val="Body Text Char"/>
    <w:basedOn w:val="DefaultParagraphFont"/>
    <w:link w:val="BodyText"/>
    <w:uiPriority w:val="98"/>
    <w:semiHidden/>
    <w:rsid w:val="001E6CA5"/>
    <w:rPr>
      <w:sz w:val="24"/>
      <w:szCs w:val="24"/>
      <w:lang w:val="fr-FR"/>
    </w:rPr>
  </w:style>
  <w:style w:type="table" w:customStyle="1" w:styleId="ECHRTableOddBanded">
    <w:name w:val="ECHR_Table_Odd_Banded"/>
    <w:basedOn w:val="TableNormal"/>
    <w:uiPriority w:val="99"/>
    <w:rsid w:val="001E6CA5"/>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1E6CA5"/>
    <w:pPr>
      <w:spacing w:after="120" w:line="480" w:lineRule="auto"/>
    </w:pPr>
  </w:style>
  <w:style w:type="table" w:customStyle="1" w:styleId="ECHRHeaderTableReduced">
    <w:name w:val="ECHR_Header_Table_Reduced"/>
    <w:basedOn w:val="TableNormal"/>
    <w:uiPriority w:val="99"/>
    <w:rsid w:val="001E6CA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1E6CA5"/>
    <w:pPr>
      <w:ind w:firstLine="284"/>
    </w:pPr>
    <w:rPr>
      <w:b/>
    </w:rPr>
  </w:style>
  <w:style w:type="character" w:styleId="PageNumber">
    <w:name w:val="page number"/>
    <w:uiPriority w:val="98"/>
    <w:semiHidden/>
    <w:rsid w:val="001E6CA5"/>
    <w:rPr>
      <w:sz w:val="18"/>
    </w:rPr>
  </w:style>
  <w:style w:type="paragraph" w:styleId="ListBullet2">
    <w:name w:val="List Bullet 2"/>
    <w:basedOn w:val="Normal"/>
    <w:uiPriority w:val="98"/>
    <w:semiHidden/>
    <w:rsid w:val="001E6CA5"/>
    <w:pPr>
      <w:numPr>
        <w:numId w:val="6"/>
      </w:numPr>
      <w:contextualSpacing/>
    </w:pPr>
  </w:style>
  <w:style w:type="character" w:customStyle="1" w:styleId="BodyText2Char">
    <w:name w:val="Body Text 2 Char"/>
    <w:basedOn w:val="DefaultParagraphFont"/>
    <w:link w:val="BodyText2"/>
    <w:uiPriority w:val="98"/>
    <w:semiHidden/>
    <w:rsid w:val="001E6CA5"/>
    <w:rPr>
      <w:sz w:val="24"/>
      <w:szCs w:val="24"/>
      <w:lang w:val="fr-FR"/>
    </w:rPr>
  </w:style>
  <w:style w:type="paragraph" w:styleId="BodyText3">
    <w:name w:val="Body Text 3"/>
    <w:basedOn w:val="Normal"/>
    <w:link w:val="BodyText3Char"/>
    <w:uiPriority w:val="98"/>
    <w:semiHidden/>
    <w:rsid w:val="001E6CA5"/>
    <w:pPr>
      <w:spacing w:after="120"/>
    </w:pPr>
    <w:rPr>
      <w:sz w:val="16"/>
      <w:szCs w:val="16"/>
    </w:rPr>
  </w:style>
  <w:style w:type="character" w:customStyle="1" w:styleId="BodyText3Char">
    <w:name w:val="Body Text 3 Char"/>
    <w:basedOn w:val="DefaultParagraphFont"/>
    <w:link w:val="BodyText3"/>
    <w:uiPriority w:val="98"/>
    <w:semiHidden/>
    <w:rsid w:val="001E6CA5"/>
    <w:rPr>
      <w:sz w:val="16"/>
      <w:szCs w:val="16"/>
      <w:lang w:val="fr-FR"/>
    </w:rPr>
  </w:style>
  <w:style w:type="paragraph" w:styleId="BodyTextFirstIndent">
    <w:name w:val="Body Text First Indent"/>
    <w:basedOn w:val="BodyText"/>
    <w:link w:val="BodyTextFirstIndentChar"/>
    <w:uiPriority w:val="98"/>
    <w:semiHidden/>
    <w:rsid w:val="001E6CA5"/>
    <w:pPr>
      <w:spacing w:after="0"/>
      <w:ind w:firstLine="360"/>
    </w:pPr>
  </w:style>
  <w:style w:type="character" w:customStyle="1" w:styleId="BodyTextFirstIndentChar">
    <w:name w:val="Body Text First Indent Char"/>
    <w:basedOn w:val="BodyTextChar"/>
    <w:link w:val="BodyTextFirstIndent"/>
    <w:uiPriority w:val="98"/>
    <w:semiHidden/>
    <w:rsid w:val="001E6CA5"/>
    <w:rPr>
      <w:sz w:val="24"/>
      <w:szCs w:val="24"/>
      <w:lang w:val="fr-FR"/>
    </w:rPr>
  </w:style>
  <w:style w:type="paragraph" w:styleId="BodyTextIndent">
    <w:name w:val="Body Text Indent"/>
    <w:basedOn w:val="Normal"/>
    <w:link w:val="BodyTextIndentChar"/>
    <w:uiPriority w:val="98"/>
    <w:semiHidden/>
    <w:rsid w:val="001E6CA5"/>
    <w:pPr>
      <w:spacing w:after="120"/>
      <w:ind w:left="283"/>
    </w:pPr>
  </w:style>
  <w:style w:type="character" w:customStyle="1" w:styleId="BodyTextIndentChar">
    <w:name w:val="Body Text Indent Char"/>
    <w:basedOn w:val="DefaultParagraphFont"/>
    <w:link w:val="BodyTextIndent"/>
    <w:uiPriority w:val="98"/>
    <w:semiHidden/>
    <w:rsid w:val="001E6CA5"/>
    <w:rPr>
      <w:sz w:val="24"/>
      <w:szCs w:val="24"/>
      <w:lang w:val="fr-FR"/>
    </w:rPr>
  </w:style>
  <w:style w:type="paragraph" w:styleId="BodyTextFirstIndent2">
    <w:name w:val="Body Text First Indent 2"/>
    <w:basedOn w:val="BodyTextIndent"/>
    <w:link w:val="BodyTextFirstIndent2Char"/>
    <w:uiPriority w:val="98"/>
    <w:semiHidden/>
    <w:rsid w:val="001E6CA5"/>
    <w:pPr>
      <w:spacing w:after="0"/>
      <w:ind w:left="360" w:firstLine="360"/>
    </w:pPr>
  </w:style>
  <w:style w:type="character" w:customStyle="1" w:styleId="BodyTextFirstIndent2Char">
    <w:name w:val="Body Text First Indent 2 Char"/>
    <w:basedOn w:val="BodyTextIndentChar"/>
    <w:link w:val="BodyTextFirstIndent2"/>
    <w:uiPriority w:val="98"/>
    <w:semiHidden/>
    <w:rsid w:val="001E6CA5"/>
    <w:rPr>
      <w:sz w:val="24"/>
      <w:szCs w:val="24"/>
      <w:lang w:val="fr-FR"/>
    </w:rPr>
  </w:style>
  <w:style w:type="paragraph" w:styleId="BodyTextIndent2">
    <w:name w:val="Body Text Indent 2"/>
    <w:basedOn w:val="Normal"/>
    <w:link w:val="BodyTextIndent2Char"/>
    <w:uiPriority w:val="98"/>
    <w:semiHidden/>
    <w:rsid w:val="001E6CA5"/>
    <w:pPr>
      <w:spacing w:after="120" w:line="480" w:lineRule="auto"/>
      <w:ind w:left="283"/>
    </w:pPr>
  </w:style>
  <w:style w:type="character" w:customStyle="1" w:styleId="BodyTextIndent2Char">
    <w:name w:val="Body Text Indent 2 Char"/>
    <w:basedOn w:val="DefaultParagraphFont"/>
    <w:link w:val="BodyTextIndent2"/>
    <w:uiPriority w:val="98"/>
    <w:semiHidden/>
    <w:rsid w:val="001E6CA5"/>
    <w:rPr>
      <w:sz w:val="24"/>
      <w:szCs w:val="24"/>
      <w:lang w:val="fr-FR"/>
    </w:rPr>
  </w:style>
  <w:style w:type="paragraph" w:styleId="BodyTextIndent3">
    <w:name w:val="Body Text Indent 3"/>
    <w:basedOn w:val="Normal"/>
    <w:link w:val="BodyTextIndent3Char"/>
    <w:uiPriority w:val="98"/>
    <w:semiHidden/>
    <w:rsid w:val="001E6CA5"/>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1E6CA5"/>
    <w:rPr>
      <w:sz w:val="16"/>
      <w:szCs w:val="16"/>
      <w:lang w:val="fr-FR"/>
    </w:rPr>
  </w:style>
  <w:style w:type="paragraph" w:styleId="Caption">
    <w:name w:val="caption"/>
    <w:basedOn w:val="Normal"/>
    <w:next w:val="Normal"/>
    <w:uiPriority w:val="98"/>
    <w:semiHidden/>
    <w:qFormat/>
    <w:rsid w:val="001E6CA5"/>
    <w:pPr>
      <w:spacing w:after="200"/>
    </w:pPr>
    <w:rPr>
      <w:b/>
      <w:bCs/>
      <w:color w:val="0072BC" w:themeColor="accent1"/>
      <w:sz w:val="18"/>
      <w:szCs w:val="18"/>
    </w:rPr>
  </w:style>
  <w:style w:type="paragraph" w:styleId="Closing">
    <w:name w:val="Closing"/>
    <w:basedOn w:val="Normal"/>
    <w:link w:val="ClosingChar"/>
    <w:uiPriority w:val="98"/>
    <w:semiHidden/>
    <w:rsid w:val="001E6CA5"/>
    <w:pPr>
      <w:ind w:left="4252"/>
    </w:pPr>
  </w:style>
  <w:style w:type="character" w:customStyle="1" w:styleId="ClosingChar">
    <w:name w:val="Closing Char"/>
    <w:basedOn w:val="DefaultParagraphFont"/>
    <w:link w:val="Closing"/>
    <w:uiPriority w:val="98"/>
    <w:semiHidden/>
    <w:rsid w:val="001E6CA5"/>
    <w:rPr>
      <w:sz w:val="24"/>
      <w:szCs w:val="24"/>
      <w:lang w:val="fr-FR"/>
    </w:rPr>
  </w:style>
  <w:style w:type="table" w:styleId="ColorfulGrid">
    <w:name w:val="Colorful Grid"/>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E6CA5"/>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E6CA5"/>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E6CA5"/>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E6CA5"/>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E6CA5"/>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E6CA5"/>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E6CA5"/>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E6CA5"/>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E6CA5"/>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E6CA5"/>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E6CA5"/>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E6CA5"/>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E6CA5"/>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E6CA5"/>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E6CA5"/>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1E6CA5"/>
    <w:rPr>
      <w:sz w:val="16"/>
      <w:szCs w:val="16"/>
    </w:rPr>
  </w:style>
  <w:style w:type="paragraph" w:styleId="CommentText">
    <w:name w:val="annotation text"/>
    <w:basedOn w:val="Normal"/>
    <w:link w:val="CommentTextChar"/>
    <w:uiPriority w:val="98"/>
    <w:semiHidden/>
    <w:rsid w:val="001E6CA5"/>
    <w:rPr>
      <w:sz w:val="20"/>
      <w:szCs w:val="20"/>
    </w:rPr>
  </w:style>
  <w:style w:type="character" w:customStyle="1" w:styleId="CommentTextChar">
    <w:name w:val="Comment Text Char"/>
    <w:basedOn w:val="DefaultParagraphFont"/>
    <w:link w:val="CommentText"/>
    <w:uiPriority w:val="98"/>
    <w:semiHidden/>
    <w:rsid w:val="001E6CA5"/>
    <w:rPr>
      <w:sz w:val="20"/>
      <w:szCs w:val="20"/>
      <w:lang w:val="fr-FR"/>
    </w:rPr>
  </w:style>
  <w:style w:type="paragraph" w:styleId="CommentSubject">
    <w:name w:val="annotation subject"/>
    <w:basedOn w:val="CommentText"/>
    <w:next w:val="CommentText"/>
    <w:link w:val="CommentSubjectChar"/>
    <w:uiPriority w:val="98"/>
    <w:semiHidden/>
    <w:rsid w:val="001E6CA5"/>
    <w:rPr>
      <w:b/>
      <w:bCs/>
    </w:rPr>
  </w:style>
  <w:style w:type="character" w:customStyle="1" w:styleId="CommentSubjectChar">
    <w:name w:val="Comment Subject Char"/>
    <w:basedOn w:val="CommentTextChar"/>
    <w:link w:val="CommentSubject"/>
    <w:uiPriority w:val="98"/>
    <w:semiHidden/>
    <w:rsid w:val="001E6CA5"/>
    <w:rPr>
      <w:b/>
      <w:bCs/>
      <w:sz w:val="20"/>
      <w:szCs w:val="20"/>
      <w:lang w:val="fr-FR"/>
    </w:rPr>
  </w:style>
  <w:style w:type="table" w:styleId="DarkList">
    <w:name w:val="Dark List"/>
    <w:basedOn w:val="TableNormal"/>
    <w:uiPriority w:val="70"/>
    <w:semiHidden/>
    <w:rsid w:val="001E6CA5"/>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E6CA5"/>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E6CA5"/>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E6CA5"/>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E6CA5"/>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E6CA5"/>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E6CA5"/>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1E6CA5"/>
  </w:style>
  <w:style w:type="character" w:customStyle="1" w:styleId="DateChar">
    <w:name w:val="Date Char"/>
    <w:basedOn w:val="DefaultParagraphFont"/>
    <w:link w:val="Date"/>
    <w:uiPriority w:val="98"/>
    <w:semiHidden/>
    <w:rsid w:val="001E6CA5"/>
    <w:rPr>
      <w:sz w:val="24"/>
      <w:szCs w:val="24"/>
      <w:lang w:val="fr-FR"/>
    </w:rPr>
  </w:style>
  <w:style w:type="paragraph" w:styleId="DocumentMap">
    <w:name w:val="Document Map"/>
    <w:basedOn w:val="Normal"/>
    <w:link w:val="DocumentMapChar"/>
    <w:uiPriority w:val="98"/>
    <w:semiHidden/>
    <w:rsid w:val="001E6CA5"/>
    <w:rPr>
      <w:rFonts w:ascii="Tahoma" w:hAnsi="Tahoma" w:cs="Tahoma"/>
      <w:sz w:val="16"/>
      <w:szCs w:val="16"/>
    </w:rPr>
  </w:style>
  <w:style w:type="character" w:customStyle="1" w:styleId="DocumentMapChar">
    <w:name w:val="Document Map Char"/>
    <w:basedOn w:val="DefaultParagraphFont"/>
    <w:link w:val="DocumentMap"/>
    <w:uiPriority w:val="98"/>
    <w:semiHidden/>
    <w:rsid w:val="001E6CA5"/>
    <w:rPr>
      <w:rFonts w:ascii="Tahoma" w:hAnsi="Tahoma" w:cs="Tahoma"/>
      <w:sz w:val="16"/>
      <w:szCs w:val="16"/>
      <w:lang w:val="fr-FR"/>
    </w:rPr>
  </w:style>
  <w:style w:type="paragraph" w:styleId="E-mailSignature">
    <w:name w:val="E-mail Signature"/>
    <w:basedOn w:val="Normal"/>
    <w:link w:val="E-mailSignatureChar"/>
    <w:uiPriority w:val="98"/>
    <w:semiHidden/>
    <w:rsid w:val="001E6CA5"/>
  </w:style>
  <w:style w:type="character" w:customStyle="1" w:styleId="E-mailSignatureChar">
    <w:name w:val="E-mail Signature Char"/>
    <w:basedOn w:val="DefaultParagraphFont"/>
    <w:link w:val="E-mailSignature"/>
    <w:uiPriority w:val="98"/>
    <w:semiHidden/>
    <w:rsid w:val="001E6CA5"/>
    <w:rPr>
      <w:sz w:val="24"/>
      <w:szCs w:val="24"/>
      <w:lang w:val="fr-FR"/>
    </w:rPr>
  </w:style>
  <w:style w:type="character" w:styleId="EndnoteReference">
    <w:name w:val="endnote reference"/>
    <w:basedOn w:val="DefaultParagraphFont"/>
    <w:uiPriority w:val="98"/>
    <w:semiHidden/>
    <w:rsid w:val="001E6CA5"/>
    <w:rPr>
      <w:vertAlign w:val="superscript"/>
    </w:rPr>
  </w:style>
  <w:style w:type="paragraph" w:styleId="EndnoteText">
    <w:name w:val="endnote text"/>
    <w:basedOn w:val="Normal"/>
    <w:link w:val="EndnoteTextChar"/>
    <w:uiPriority w:val="98"/>
    <w:semiHidden/>
    <w:rsid w:val="001E6CA5"/>
    <w:rPr>
      <w:sz w:val="20"/>
      <w:szCs w:val="20"/>
    </w:rPr>
  </w:style>
  <w:style w:type="character" w:customStyle="1" w:styleId="EndnoteTextChar">
    <w:name w:val="Endnote Text Char"/>
    <w:basedOn w:val="DefaultParagraphFont"/>
    <w:link w:val="EndnoteText"/>
    <w:uiPriority w:val="98"/>
    <w:semiHidden/>
    <w:rsid w:val="001E6CA5"/>
    <w:rPr>
      <w:sz w:val="20"/>
      <w:szCs w:val="20"/>
      <w:lang w:val="fr-FR"/>
    </w:rPr>
  </w:style>
  <w:style w:type="paragraph" w:styleId="EnvelopeAddress">
    <w:name w:val="envelope address"/>
    <w:basedOn w:val="Normal"/>
    <w:uiPriority w:val="98"/>
    <w:semiHidden/>
    <w:rsid w:val="001E6CA5"/>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1E6CA5"/>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1E6CA5"/>
    <w:rPr>
      <w:color w:val="7030A0" w:themeColor="followedHyperlink"/>
      <w:u w:val="single"/>
    </w:rPr>
  </w:style>
  <w:style w:type="character" w:styleId="HTMLAcronym">
    <w:name w:val="HTML Acronym"/>
    <w:basedOn w:val="DefaultParagraphFont"/>
    <w:uiPriority w:val="98"/>
    <w:semiHidden/>
    <w:rsid w:val="001E6CA5"/>
  </w:style>
  <w:style w:type="paragraph" w:styleId="HTMLAddress">
    <w:name w:val="HTML Address"/>
    <w:basedOn w:val="Normal"/>
    <w:link w:val="HTMLAddressChar"/>
    <w:uiPriority w:val="98"/>
    <w:semiHidden/>
    <w:rsid w:val="001E6CA5"/>
    <w:rPr>
      <w:i/>
      <w:iCs/>
    </w:rPr>
  </w:style>
  <w:style w:type="character" w:customStyle="1" w:styleId="HTMLAddressChar">
    <w:name w:val="HTML Address Char"/>
    <w:basedOn w:val="DefaultParagraphFont"/>
    <w:link w:val="HTMLAddress"/>
    <w:uiPriority w:val="98"/>
    <w:semiHidden/>
    <w:rsid w:val="001E6CA5"/>
    <w:rPr>
      <w:i/>
      <w:iCs/>
      <w:sz w:val="24"/>
      <w:szCs w:val="24"/>
      <w:lang w:val="fr-FR"/>
    </w:rPr>
  </w:style>
  <w:style w:type="character" w:styleId="HTMLCite">
    <w:name w:val="HTML Cite"/>
    <w:basedOn w:val="DefaultParagraphFont"/>
    <w:uiPriority w:val="98"/>
    <w:semiHidden/>
    <w:rsid w:val="001E6CA5"/>
    <w:rPr>
      <w:i/>
      <w:iCs/>
    </w:rPr>
  </w:style>
  <w:style w:type="character" w:styleId="HTMLCode">
    <w:name w:val="HTML Code"/>
    <w:basedOn w:val="DefaultParagraphFont"/>
    <w:uiPriority w:val="98"/>
    <w:semiHidden/>
    <w:rsid w:val="001E6CA5"/>
    <w:rPr>
      <w:rFonts w:ascii="Consolas" w:hAnsi="Consolas" w:cs="Consolas"/>
      <w:sz w:val="20"/>
      <w:szCs w:val="20"/>
    </w:rPr>
  </w:style>
  <w:style w:type="character" w:styleId="HTMLDefinition">
    <w:name w:val="HTML Definition"/>
    <w:basedOn w:val="DefaultParagraphFont"/>
    <w:uiPriority w:val="98"/>
    <w:semiHidden/>
    <w:rsid w:val="001E6CA5"/>
    <w:rPr>
      <w:i/>
      <w:iCs/>
    </w:rPr>
  </w:style>
  <w:style w:type="character" w:styleId="HTMLKeyboard">
    <w:name w:val="HTML Keyboard"/>
    <w:basedOn w:val="DefaultParagraphFont"/>
    <w:uiPriority w:val="98"/>
    <w:semiHidden/>
    <w:rsid w:val="001E6CA5"/>
    <w:rPr>
      <w:rFonts w:ascii="Consolas" w:hAnsi="Consolas" w:cs="Consolas"/>
      <w:sz w:val="20"/>
      <w:szCs w:val="20"/>
    </w:rPr>
  </w:style>
  <w:style w:type="paragraph" w:styleId="HTMLPreformatted">
    <w:name w:val="HTML Preformatted"/>
    <w:basedOn w:val="Normal"/>
    <w:link w:val="HTMLPreformattedChar"/>
    <w:uiPriority w:val="98"/>
    <w:semiHidden/>
    <w:rsid w:val="001E6CA5"/>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1E6CA5"/>
    <w:rPr>
      <w:rFonts w:ascii="Consolas" w:hAnsi="Consolas" w:cs="Consolas"/>
      <w:sz w:val="20"/>
      <w:szCs w:val="20"/>
      <w:lang w:val="fr-FR"/>
    </w:rPr>
  </w:style>
  <w:style w:type="character" w:styleId="HTMLSample">
    <w:name w:val="HTML Sample"/>
    <w:basedOn w:val="DefaultParagraphFont"/>
    <w:uiPriority w:val="98"/>
    <w:semiHidden/>
    <w:rsid w:val="001E6CA5"/>
    <w:rPr>
      <w:rFonts w:ascii="Consolas" w:hAnsi="Consolas" w:cs="Consolas"/>
      <w:sz w:val="24"/>
      <w:szCs w:val="24"/>
    </w:rPr>
  </w:style>
  <w:style w:type="character" w:styleId="HTMLTypewriter">
    <w:name w:val="HTML Typewriter"/>
    <w:basedOn w:val="DefaultParagraphFont"/>
    <w:uiPriority w:val="98"/>
    <w:semiHidden/>
    <w:rsid w:val="001E6CA5"/>
    <w:rPr>
      <w:rFonts w:ascii="Consolas" w:hAnsi="Consolas" w:cs="Consolas"/>
      <w:sz w:val="20"/>
      <w:szCs w:val="20"/>
    </w:rPr>
  </w:style>
  <w:style w:type="character" w:styleId="HTMLVariable">
    <w:name w:val="HTML Variable"/>
    <w:basedOn w:val="DefaultParagraphFont"/>
    <w:uiPriority w:val="98"/>
    <w:semiHidden/>
    <w:rsid w:val="001E6CA5"/>
    <w:rPr>
      <w:i/>
      <w:iCs/>
    </w:rPr>
  </w:style>
  <w:style w:type="paragraph" w:styleId="Index1">
    <w:name w:val="index 1"/>
    <w:basedOn w:val="Normal"/>
    <w:next w:val="Normal"/>
    <w:autoRedefine/>
    <w:uiPriority w:val="98"/>
    <w:semiHidden/>
    <w:rsid w:val="001E6CA5"/>
    <w:pPr>
      <w:ind w:left="240" w:hanging="240"/>
    </w:pPr>
  </w:style>
  <w:style w:type="paragraph" w:styleId="Index2">
    <w:name w:val="index 2"/>
    <w:basedOn w:val="Normal"/>
    <w:next w:val="Normal"/>
    <w:autoRedefine/>
    <w:uiPriority w:val="98"/>
    <w:semiHidden/>
    <w:rsid w:val="001E6CA5"/>
    <w:pPr>
      <w:ind w:left="480" w:hanging="240"/>
    </w:pPr>
  </w:style>
  <w:style w:type="paragraph" w:styleId="Index3">
    <w:name w:val="index 3"/>
    <w:basedOn w:val="Normal"/>
    <w:next w:val="Normal"/>
    <w:autoRedefine/>
    <w:uiPriority w:val="98"/>
    <w:semiHidden/>
    <w:rsid w:val="001E6CA5"/>
    <w:pPr>
      <w:ind w:left="720" w:hanging="240"/>
    </w:pPr>
  </w:style>
  <w:style w:type="paragraph" w:styleId="Index4">
    <w:name w:val="index 4"/>
    <w:basedOn w:val="Normal"/>
    <w:next w:val="Normal"/>
    <w:autoRedefine/>
    <w:uiPriority w:val="98"/>
    <w:semiHidden/>
    <w:rsid w:val="001E6CA5"/>
    <w:pPr>
      <w:ind w:left="960" w:hanging="240"/>
    </w:pPr>
  </w:style>
  <w:style w:type="paragraph" w:styleId="Index5">
    <w:name w:val="index 5"/>
    <w:basedOn w:val="Normal"/>
    <w:next w:val="Normal"/>
    <w:autoRedefine/>
    <w:uiPriority w:val="98"/>
    <w:semiHidden/>
    <w:rsid w:val="001E6CA5"/>
    <w:pPr>
      <w:ind w:left="1200" w:hanging="240"/>
    </w:pPr>
  </w:style>
  <w:style w:type="paragraph" w:styleId="Index6">
    <w:name w:val="index 6"/>
    <w:basedOn w:val="Normal"/>
    <w:next w:val="Normal"/>
    <w:autoRedefine/>
    <w:uiPriority w:val="98"/>
    <w:semiHidden/>
    <w:rsid w:val="001E6CA5"/>
    <w:pPr>
      <w:ind w:left="1440" w:hanging="240"/>
    </w:pPr>
  </w:style>
  <w:style w:type="paragraph" w:styleId="Index7">
    <w:name w:val="index 7"/>
    <w:basedOn w:val="Normal"/>
    <w:next w:val="Normal"/>
    <w:autoRedefine/>
    <w:uiPriority w:val="98"/>
    <w:semiHidden/>
    <w:rsid w:val="001E6CA5"/>
    <w:pPr>
      <w:ind w:left="1680" w:hanging="240"/>
    </w:pPr>
  </w:style>
  <w:style w:type="paragraph" w:styleId="Index8">
    <w:name w:val="index 8"/>
    <w:basedOn w:val="Normal"/>
    <w:next w:val="Normal"/>
    <w:autoRedefine/>
    <w:uiPriority w:val="98"/>
    <w:semiHidden/>
    <w:rsid w:val="001E6CA5"/>
    <w:pPr>
      <w:ind w:left="1920" w:hanging="240"/>
    </w:pPr>
  </w:style>
  <w:style w:type="paragraph" w:styleId="Index9">
    <w:name w:val="index 9"/>
    <w:basedOn w:val="Normal"/>
    <w:next w:val="Normal"/>
    <w:autoRedefine/>
    <w:uiPriority w:val="98"/>
    <w:semiHidden/>
    <w:rsid w:val="001E6CA5"/>
    <w:pPr>
      <w:ind w:left="2160" w:hanging="240"/>
    </w:pPr>
  </w:style>
  <w:style w:type="paragraph" w:styleId="IndexHeading">
    <w:name w:val="index heading"/>
    <w:basedOn w:val="Normal"/>
    <w:next w:val="Index1"/>
    <w:uiPriority w:val="98"/>
    <w:semiHidden/>
    <w:rsid w:val="001E6CA5"/>
    <w:rPr>
      <w:rFonts w:asciiTheme="majorHAnsi" w:eastAsiaTheme="majorEastAsia" w:hAnsiTheme="majorHAnsi" w:cstheme="majorBidi"/>
      <w:b/>
      <w:bCs/>
    </w:rPr>
  </w:style>
  <w:style w:type="table" w:styleId="LightGrid">
    <w:name w:val="Light Grid"/>
    <w:basedOn w:val="TableNormal"/>
    <w:uiPriority w:val="62"/>
    <w:semiHidden/>
    <w:rsid w:val="001E6CA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E6CA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E6CA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E6CA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E6CA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E6CA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E6CA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E6CA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E6CA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E6CA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E6CA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E6CA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E6CA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E6CA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E6CA5"/>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E6CA5"/>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E6CA5"/>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E6CA5"/>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E6CA5"/>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E6CA5"/>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E6CA5"/>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1E6CA5"/>
  </w:style>
  <w:style w:type="paragraph" w:styleId="List">
    <w:name w:val="List"/>
    <w:basedOn w:val="Normal"/>
    <w:uiPriority w:val="98"/>
    <w:semiHidden/>
    <w:rsid w:val="001E6CA5"/>
    <w:pPr>
      <w:ind w:left="283" w:hanging="283"/>
      <w:contextualSpacing/>
    </w:pPr>
  </w:style>
  <w:style w:type="paragraph" w:styleId="List2">
    <w:name w:val="List 2"/>
    <w:basedOn w:val="Normal"/>
    <w:uiPriority w:val="98"/>
    <w:semiHidden/>
    <w:rsid w:val="001E6CA5"/>
    <w:pPr>
      <w:ind w:left="566" w:hanging="283"/>
      <w:contextualSpacing/>
    </w:pPr>
  </w:style>
  <w:style w:type="paragraph" w:styleId="List3">
    <w:name w:val="List 3"/>
    <w:basedOn w:val="Normal"/>
    <w:uiPriority w:val="98"/>
    <w:semiHidden/>
    <w:rsid w:val="001E6CA5"/>
    <w:pPr>
      <w:ind w:left="849" w:hanging="283"/>
      <w:contextualSpacing/>
    </w:pPr>
  </w:style>
  <w:style w:type="paragraph" w:styleId="List4">
    <w:name w:val="List 4"/>
    <w:basedOn w:val="Normal"/>
    <w:uiPriority w:val="98"/>
    <w:semiHidden/>
    <w:rsid w:val="001E6CA5"/>
    <w:pPr>
      <w:ind w:left="1132" w:hanging="283"/>
      <w:contextualSpacing/>
    </w:pPr>
  </w:style>
  <w:style w:type="paragraph" w:styleId="List5">
    <w:name w:val="List 5"/>
    <w:basedOn w:val="Normal"/>
    <w:uiPriority w:val="98"/>
    <w:semiHidden/>
    <w:rsid w:val="001E6CA5"/>
    <w:pPr>
      <w:ind w:left="1415" w:hanging="283"/>
      <w:contextualSpacing/>
    </w:pPr>
  </w:style>
  <w:style w:type="paragraph" w:styleId="ListBullet">
    <w:name w:val="List Bullet"/>
    <w:basedOn w:val="Normal"/>
    <w:uiPriority w:val="98"/>
    <w:semiHidden/>
    <w:rsid w:val="001E6CA5"/>
    <w:pPr>
      <w:numPr>
        <w:numId w:val="5"/>
      </w:numPr>
    </w:pPr>
  </w:style>
  <w:style w:type="paragraph" w:styleId="ListBullet3">
    <w:name w:val="List Bullet 3"/>
    <w:basedOn w:val="Normal"/>
    <w:uiPriority w:val="98"/>
    <w:semiHidden/>
    <w:rsid w:val="001E6CA5"/>
    <w:pPr>
      <w:numPr>
        <w:numId w:val="7"/>
      </w:numPr>
      <w:contextualSpacing/>
    </w:pPr>
  </w:style>
  <w:style w:type="paragraph" w:styleId="ListBullet4">
    <w:name w:val="List Bullet 4"/>
    <w:basedOn w:val="Normal"/>
    <w:uiPriority w:val="98"/>
    <w:semiHidden/>
    <w:rsid w:val="001E6CA5"/>
    <w:pPr>
      <w:numPr>
        <w:numId w:val="8"/>
      </w:numPr>
      <w:contextualSpacing/>
    </w:pPr>
  </w:style>
  <w:style w:type="paragraph" w:styleId="ListBullet5">
    <w:name w:val="List Bullet 5"/>
    <w:basedOn w:val="Normal"/>
    <w:uiPriority w:val="98"/>
    <w:semiHidden/>
    <w:rsid w:val="001E6CA5"/>
    <w:pPr>
      <w:numPr>
        <w:numId w:val="9"/>
      </w:numPr>
      <w:contextualSpacing/>
    </w:pPr>
  </w:style>
  <w:style w:type="paragraph" w:styleId="ListContinue">
    <w:name w:val="List Continue"/>
    <w:basedOn w:val="Normal"/>
    <w:uiPriority w:val="98"/>
    <w:semiHidden/>
    <w:rsid w:val="001E6CA5"/>
    <w:pPr>
      <w:spacing w:after="120"/>
      <w:ind w:left="283"/>
      <w:contextualSpacing/>
    </w:pPr>
  </w:style>
  <w:style w:type="paragraph" w:styleId="ListContinue2">
    <w:name w:val="List Continue 2"/>
    <w:basedOn w:val="Normal"/>
    <w:uiPriority w:val="98"/>
    <w:semiHidden/>
    <w:rsid w:val="001E6CA5"/>
    <w:pPr>
      <w:spacing w:after="120"/>
      <w:ind w:left="566"/>
      <w:contextualSpacing/>
    </w:pPr>
  </w:style>
  <w:style w:type="paragraph" w:styleId="ListContinue3">
    <w:name w:val="List Continue 3"/>
    <w:basedOn w:val="Normal"/>
    <w:uiPriority w:val="98"/>
    <w:semiHidden/>
    <w:rsid w:val="001E6CA5"/>
    <w:pPr>
      <w:spacing w:after="120"/>
      <w:ind w:left="849"/>
      <w:contextualSpacing/>
    </w:pPr>
  </w:style>
  <w:style w:type="paragraph" w:styleId="ListContinue4">
    <w:name w:val="List Continue 4"/>
    <w:basedOn w:val="Normal"/>
    <w:uiPriority w:val="98"/>
    <w:semiHidden/>
    <w:rsid w:val="001E6CA5"/>
    <w:pPr>
      <w:spacing w:after="120"/>
      <w:ind w:left="1132"/>
      <w:contextualSpacing/>
    </w:pPr>
  </w:style>
  <w:style w:type="paragraph" w:styleId="ListContinue5">
    <w:name w:val="List Continue 5"/>
    <w:basedOn w:val="Normal"/>
    <w:uiPriority w:val="98"/>
    <w:semiHidden/>
    <w:rsid w:val="001E6CA5"/>
    <w:pPr>
      <w:spacing w:after="120"/>
      <w:ind w:left="1415"/>
      <w:contextualSpacing/>
    </w:pPr>
  </w:style>
  <w:style w:type="paragraph" w:styleId="ListNumber">
    <w:name w:val="List Number"/>
    <w:basedOn w:val="Normal"/>
    <w:uiPriority w:val="98"/>
    <w:semiHidden/>
    <w:rsid w:val="001E6CA5"/>
    <w:pPr>
      <w:numPr>
        <w:numId w:val="10"/>
      </w:numPr>
      <w:contextualSpacing/>
    </w:pPr>
  </w:style>
  <w:style w:type="paragraph" w:styleId="ListNumber2">
    <w:name w:val="List Number 2"/>
    <w:basedOn w:val="Normal"/>
    <w:uiPriority w:val="98"/>
    <w:semiHidden/>
    <w:rsid w:val="001E6CA5"/>
    <w:pPr>
      <w:numPr>
        <w:numId w:val="11"/>
      </w:numPr>
      <w:contextualSpacing/>
    </w:pPr>
  </w:style>
  <w:style w:type="paragraph" w:styleId="ListNumber3">
    <w:name w:val="List Number 3"/>
    <w:basedOn w:val="Normal"/>
    <w:uiPriority w:val="98"/>
    <w:semiHidden/>
    <w:rsid w:val="001E6CA5"/>
    <w:pPr>
      <w:numPr>
        <w:numId w:val="12"/>
      </w:numPr>
      <w:contextualSpacing/>
    </w:pPr>
  </w:style>
  <w:style w:type="paragraph" w:styleId="ListNumber4">
    <w:name w:val="List Number 4"/>
    <w:basedOn w:val="Normal"/>
    <w:uiPriority w:val="98"/>
    <w:semiHidden/>
    <w:rsid w:val="001E6CA5"/>
    <w:pPr>
      <w:numPr>
        <w:numId w:val="13"/>
      </w:numPr>
      <w:contextualSpacing/>
    </w:pPr>
  </w:style>
  <w:style w:type="paragraph" w:styleId="ListNumber5">
    <w:name w:val="List Number 5"/>
    <w:basedOn w:val="Normal"/>
    <w:uiPriority w:val="98"/>
    <w:semiHidden/>
    <w:rsid w:val="001E6CA5"/>
    <w:pPr>
      <w:numPr>
        <w:numId w:val="14"/>
      </w:numPr>
      <w:contextualSpacing/>
    </w:pPr>
  </w:style>
  <w:style w:type="paragraph" w:styleId="MacroText">
    <w:name w:val="macro"/>
    <w:link w:val="MacroTextChar"/>
    <w:uiPriority w:val="98"/>
    <w:semiHidden/>
    <w:rsid w:val="001E6CA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1E6CA5"/>
    <w:rPr>
      <w:rFonts w:ascii="Consolas" w:eastAsiaTheme="minorEastAsia" w:hAnsi="Consolas" w:cs="Consolas"/>
      <w:sz w:val="20"/>
      <w:szCs w:val="20"/>
    </w:rPr>
  </w:style>
  <w:style w:type="table" w:styleId="MediumGrid1">
    <w:name w:val="Medium Grid 1"/>
    <w:basedOn w:val="TableNormal"/>
    <w:uiPriority w:val="67"/>
    <w:semiHidden/>
    <w:rsid w:val="001E6CA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E6CA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E6CA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E6CA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E6CA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E6CA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E6CA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E6CA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E6CA5"/>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E6CA5"/>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E6CA5"/>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E6CA5"/>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E6CA5"/>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E6CA5"/>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E6CA5"/>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E6CA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E6CA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E6CA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E6CA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E6CA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E6CA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E6CA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E6CA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E6CA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1E6C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1E6CA5"/>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1E6CA5"/>
    <w:rPr>
      <w:rFonts w:ascii="Times New Roman" w:hAnsi="Times New Roman" w:cs="Times New Roman"/>
    </w:rPr>
  </w:style>
  <w:style w:type="paragraph" w:styleId="NormalIndent">
    <w:name w:val="Normal Indent"/>
    <w:basedOn w:val="Normal"/>
    <w:uiPriority w:val="98"/>
    <w:semiHidden/>
    <w:rsid w:val="001E6CA5"/>
    <w:pPr>
      <w:ind w:left="720"/>
    </w:pPr>
  </w:style>
  <w:style w:type="paragraph" w:styleId="NoteHeading">
    <w:name w:val="Note Heading"/>
    <w:basedOn w:val="Normal"/>
    <w:next w:val="Normal"/>
    <w:link w:val="NoteHeadingChar"/>
    <w:uiPriority w:val="98"/>
    <w:semiHidden/>
    <w:rsid w:val="001E6CA5"/>
  </w:style>
  <w:style w:type="character" w:customStyle="1" w:styleId="NoteHeadingChar">
    <w:name w:val="Note Heading Char"/>
    <w:basedOn w:val="DefaultParagraphFont"/>
    <w:link w:val="NoteHeading"/>
    <w:uiPriority w:val="98"/>
    <w:semiHidden/>
    <w:rsid w:val="001E6CA5"/>
    <w:rPr>
      <w:sz w:val="24"/>
      <w:szCs w:val="24"/>
      <w:lang w:val="fr-FR"/>
    </w:rPr>
  </w:style>
  <w:style w:type="character" w:styleId="PlaceholderText">
    <w:name w:val="Placeholder Text"/>
    <w:basedOn w:val="DefaultParagraphFont"/>
    <w:uiPriority w:val="98"/>
    <w:semiHidden/>
    <w:rsid w:val="001E6CA5"/>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1E6CA5"/>
    <w:rPr>
      <w:rFonts w:ascii="Consolas" w:hAnsi="Consolas" w:cs="Consolas"/>
      <w:sz w:val="21"/>
      <w:szCs w:val="21"/>
    </w:rPr>
  </w:style>
  <w:style w:type="character" w:customStyle="1" w:styleId="PlainTextChar">
    <w:name w:val="Plain Text Char"/>
    <w:basedOn w:val="DefaultParagraphFont"/>
    <w:link w:val="PlainText"/>
    <w:uiPriority w:val="98"/>
    <w:semiHidden/>
    <w:rsid w:val="001E6CA5"/>
    <w:rPr>
      <w:rFonts w:ascii="Consolas" w:hAnsi="Consolas" w:cs="Consolas"/>
      <w:sz w:val="21"/>
      <w:szCs w:val="21"/>
      <w:lang w:val="fr-FR"/>
    </w:rPr>
  </w:style>
  <w:style w:type="paragraph" w:styleId="Salutation">
    <w:name w:val="Salutation"/>
    <w:basedOn w:val="Normal"/>
    <w:next w:val="Normal"/>
    <w:link w:val="SalutationChar"/>
    <w:uiPriority w:val="98"/>
    <w:semiHidden/>
    <w:rsid w:val="001E6CA5"/>
  </w:style>
  <w:style w:type="character" w:customStyle="1" w:styleId="SalutationChar">
    <w:name w:val="Salutation Char"/>
    <w:basedOn w:val="DefaultParagraphFont"/>
    <w:link w:val="Salutation"/>
    <w:uiPriority w:val="98"/>
    <w:semiHidden/>
    <w:rsid w:val="001E6CA5"/>
    <w:rPr>
      <w:sz w:val="24"/>
      <w:szCs w:val="24"/>
      <w:lang w:val="fr-FR"/>
    </w:rPr>
  </w:style>
  <w:style w:type="paragraph" w:styleId="Signature">
    <w:name w:val="Signature"/>
    <w:basedOn w:val="Normal"/>
    <w:link w:val="SignatureChar"/>
    <w:uiPriority w:val="98"/>
    <w:semiHidden/>
    <w:rsid w:val="001E6CA5"/>
    <w:pPr>
      <w:ind w:left="4252"/>
    </w:pPr>
  </w:style>
  <w:style w:type="character" w:customStyle="1" w:styleId="SignatureChar">
    <w:name w:val="Signature Char"/>
    <w:basedOn w:val="DefaultParagraphFont"/>
    <w:link w:val="Signature"/>
    <w:uiPriority w:val="98"/>
    <w:semiHidden/>
    <w:rsid w:val="001E6CA5"/>
    <w:rPr>
      <w:sz w:val="24"/>
      <w:szCs w:val="24"/>
      <w:lang w:val="fr-FR"/>
    </w:rPr>
  </w:style>
  <w:style w:type="table" w:styleId="Table3Deffects1">
    <w:name w:val="Table 3D effects 1"/>
    <w:basedOn w:val="TableNormal"/>
    <w:uiPriority w:val="99"/>
    <w:semiHidden/>
    <w:unhideWhenUsed/>
    <w:rsid w:val="001E6CA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E6CA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E6CA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E6CA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E6CA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E6CA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E6CA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E6CA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E6CA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E6CA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E6CA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E6CA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E6CA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E6CA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E6CA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E6CA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E6CA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E6CA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E6CA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E6CA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E6CA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E6CA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E6CA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E6CA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E6CA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E6CA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E6CA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E6CA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E6CA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E6CA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E6CA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E6CA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E6CA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E6CA5"/>
    <w:pPr>
      <w:ind w:left="240" w:hanging="240"/>
    </w:pPr>
  </w:style>
  <w:style w:type="paragraph" w:styleId="TableofFigures">
    <w:name w:val="table of figures"/>
    <w:basedOn w:val="Normal"/>
    <w:next w:val="Normal"/>
    <w:uiPriority w:val="98"/>
    <w:semiHidden/>
    <w:rsid w:val="001E6CA5"/>
  </w:style>
  <w:style w:type="table" w:styleId="TableProfessional">
    <w:name w:val="Table Professional"/>
    <w:basedOn w:val="TableNormal"/>
    <w:uiPriority w:val="99"/>
    <w:semiHidden/>
    <w:unhideWhenUsed/>
    <w:rsid w:val="001E6CA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E6CA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E6CA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E6CA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E6CA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E6CA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E6CA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E6CA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E6CA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E6CA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1E6CA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1E6CA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1E6CA5"/>
    <w:pPr>
      <w:spacing w:after="100"/>
      <w:ind w:left="1680"/>
    </w:pPr>
  </w:style>
  <w:style w:type="paragraph" w:styleId="TOC9">
    <w:name w:val="toc 9"/>
    <w:basedOn w:val="Normal"/>
    <w:next w:val="Normal"/>
    <w:autoRedefine/>
    <w:uiPriority w:val="98"/>
    <w:semiHidden/>
    <w:rsid w:val="001E6CA5"/>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1E6CA5"/>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1E6CA5"/>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1E6CA5"/>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1E6CA5"/>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1E6CA5"/>
    <w:pPr>
      <w:numPr>
        <w:numId w:val="16"/>
      </w:numPr>
      <w:spacing w:before="60" w:after="60"/>
    </w:pPr>
  </w:style>
  <w:style w:type="paragraph" w:customStyle="1" w:styleId="ECHRBullet2">
    <w:name w:val="ECHR_Bullet_2"/>
    <w:aliases w:val="_Bul_2"/>
    <w:basedOn w:val="ECHRBullet1"/>
    <w:uiPriority w:val="23"/>
    <w:semiHidden/>
    <w:rsid w:val="001E6CA5"/>
    <w:pPr>
      <w:numPr>
        <w:ilvl w:val="1"/>
      </w:numPr>
    </w:pPr>
  </w:style>
  <w:style w:type="paragraph" w:customStyle="1" w:styleId="ECHRBullet3">
    <w:name w:val="ECHR_Bullet_3"/>
    <w:aliases w:val="_Bul_3"/>
    <w:basedOn w:val="ECHRBullet2"/>
    <w:uiPriority w:val="23"/>
    <w:semiHidden/>
    <w:rsid w:val="001E6CA5"/>
    <w:pPr>
      <w:numPr>
        <w:ilvl w:val="2"/>
      </w:numPr>
    </w:pPr>
  </w:style>
  <w:style w:type="paragraph" w:customStyle="1" w:styleId="ECHRBullet4">
    <w:name w:val="ECHR_Bullet_4"/>
    <w:aliases w:val="_Bul_4"/>
    <w:basedOn w:val="ECHRBullet3"/>
    <w:uiPriority w:val="23"/>
    <w:semiHidden/>
    <w:rsid w:val="001E6CA5"/>
    <w:pPr>
      <w:numPr>
        <w:ilvl w:val="3"/>
      </w:numPr>
    </w:pPr>
  </w:style>
  <w:style w:type="paragraph" w:customStyle="1" w:styleId="ECHRConfidential">
    <w:name w:val="ECHR_Confidential"/>
    <w:aliases w:val="_Confidential"/>
    <w:basedOn w:val="Normal"/>
    <w:next w:val="Normal"/>
    <w:uiPriority w:val="42"/>
    <w:semiHidden/>
    <w:qFormat/>
    <w:rsid w:val="001E6CA5"/>
    <w:pPr>
      <w:jc w:val="right"/>
    </w:pPr>
    <w:rPr>
      <w:color w:val="C00000"/>
      <w:sz w:val="20"/>
    </w:rPr>
  </w:style>
  <w:style w:type="paragraph" w:customStyle="1" w:styleId="ECHRDecisionBody">
    <w:name w:val="ECHR_Decision_Body"/>
    <w:aliases w:val="_Decision_Body"/>
    <w:basedOn w:val="NormalJustified"/>
    <w:uiPriority w:val="54"/>
    <w:semiHidden/>
    <w:rsid w:val="001E6CA5"/>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1E6CA5"/>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1E6CA5"/>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1E6CA5"/>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1E6CA5"/>
    <w:pPr>
      <w:jc w:val="right"/>
    </w:pPr>
    <w:rPr>
      <w:sz w:val="20"/>
    </w:rPr>
  </w:style>
  <w:style w:type="paragraph" w:customStyle="1" w:styleId="ECHRHeaderRefIt">
    <w:name w:val="ECHR_Header_Ref_It"/>
    <w:aliases w:val="_Ref_Ital"/>
    <w:basedOn w:val="Normal"/>
    <w:next w:val="ECHRHeaderDate"/>
    <w:uiPriority w:val="43"/>
    <w:qFormat/>
    <w:rsid w:val="001E6CA5"/>
    <w:pPr>
      <w:jc w:val="right"/>
    </w:pPr>
    <w:rPr>
      <w:i/>
      <w:sz w:val="20"/>
    </w:rPr>
  </w:style>
  <w:style w:type="paragraph" w:customStyle="1" w:styleId="ECHRHeading9">
    <w:name w:val="ECHR_Heading_9"/>
    <w:aliases w:val="_Head_9"/>
    <w:basedOn w:val="Heading9"/>
    <w:uiPriority w:val="17"/>
    <w:semiHidden/>
    <w:rsid w:val="001E6CA5"/>
    <w:pPr>
      <w:keepNext/>
      <w:keepLines/>
      <w:numPr>
        <w:ilvl w:val="8"/>
        <w:numId w:val="1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1E6CA5"/>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1E6CA5"/>
    <w:pPr>
      <w:numPr>
        <w:numId w:val="18"/>
      </w:numPr>
      <w:spacing w:before="60" w:after="60"/>
    </w:pPr>
  </w:style>
  <w:style w:type="paragraph" w:customStyle="1" w:styleId="ECHRNumberedList2">
    <w:name w:val="ECHR_Numbered_List_2"/>
    <w:aliases w:val="_Num_2"/>
    <w:basedOn w:val="ECHRNumberedList1"/>
    <w:uiPriority w:val="23"/>
    <w:semiHidden/>
    <w:rsid w:val="001E6CA5"/>
    <w:pPr>
      <w:numPr>
        <w:ilvl w:val="1"/>
      </w:numPr>
    </w:pPr>
  </w:style>
  <w:style w:type="paragraph" w:customStyle="1" w:styleId="ECHRNumberedList3">
    <w:name w:val="ECHR_Numbered_List_3"/>
    <w:aliases w:val="_Num_3"/>
    <w:basedOn w:val="ECHRNumberedList2"/>
    <w:uiPriority w:val="23"/>
    <w:semiHidden/>
    <w:rsid w:val="001E6CA5"/>
    <w:pPr>
      <w:numPr>
        <w:ilvl w:val="2"/>
      </w:numPr>
    </w:pPr>
  </w:style>
  <w:style w:type="paragraph" w:customStyle="1" w:styleId="ECHRParaHanging">
    <w:name w:val="ECHR_Para_Hanging"/>
    <w:aliases w:val="_Hanging"/>
    <w:basedOn w:val="NormalJustified"/>
    <w:uiPriority w:val="8"/>
    <w:semiHidden/>
    <w:qFormat/>
    <w:rsid w:val="001E6CA5"/>
    <w:pPr>
      <w:ind w:left="567" w:hanging="567"/>
    </w:pPr>
  </w:style>
  <w:style w:type="paragraph" w:customStyle="1" w:styleId="ECHRParaIndent">
    <w:name w:val="ECHR_Para_Indent"/>
    <w:aliases w:val="_Indent"/>
    <w:basedOn w:val="NormalJustified"/>
    <w:uiPriority w:val="7"/>
    <w:semiHidden/>
    <w:qFormat/>
    <w:rsid w:val="001E6CA5"/>
    <w:pPr>
      <w:spacing w:before="120" w:after="120"/>
      <w:ind w:left="567"/>
    </w:pPr>
  </w:style>
  <w:style w:type="character" w:customStyle="1" w:styleId="ECHRRed">
    <w:name w:val="ECHR_Red"/>
    <w:aliases w:val="_Red"/>
    <w:basedOn w:val="DefaultParagraphFont"/>
    <w:uiPriority w:val="15"/>
    <w:semiHidden/>
    <w:qFormat/>
    <w:rsid w:val="001E6CA5"/>
    <w:rPr>
      <w:color w:val="C00000" w:themeColor="accent2"/>
    </w:rPr>
  </w:style>
  <w:style w:type="paragraph" w:customStyle="1" w:styleId="DecList">
    <w:name w:val="Dec_List"/>
    <w:aliases w:val="_List"/>
    <w:basedOn w:val="JuList"/>
    <w:uiPriority w:val="22"/>
    <w:rsid w:val="001E6CA5"/>
    <w:pPr>
      <w:numPr>
        <w:numId w:val="0"/>
      </w:numPr>
      <w:ind w:left="284"/>
    </w:pPr>
  </w:style>
  <w:style w:type="table" w:customStyle="1" w:styleId="ECHRTable2">
    <w:name w:val="ECHR_Table_2"/>
    <w:basedOn w:val="TableNormal"/>
    <w:uiPriority w:val="99"/>
    <w:rsid w:val="001E6CA5"/>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1E6CA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1E6CA5"/>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1E6CA5"/>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1E6CA5"/>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1E6CA5"/>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1E6CA5"/>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1E6CA5"/>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1E6CA5"/>
    <w:pPr>
      <w:outlineLvl w:val="0"/>
    </w:pPr>
  </w:style>
  <w:style w:type="paragraph" w:customStyle="1" w:styleId="ECHRTitleTOC1">
    <w:name w:val="ECHR_Title_TOC_1"/>
    <w:aliases w:val="_Title_L_TOC"/>
    <w:basedOn w:val="ECHRTitle1"/>
    <w:next w:val="Normal"/>
    <w:uiPriority w:val="27"/>
    <w:semiHidden/>
    <w:qFormat/>
    <w:rsid w:val="001E6CA5"/>
    <w:pPr>
      <w:outlineLvl w:val="0"/>
    </w:pPr>
  </w:style>
  <w:style w:type="paragraph" w:customStyle="1" w:styleId="ECHRPlaceholder">
    <w:name w:val="ECHR_Placeholder"/>
    <w:aliases w:val="_Placeholder"/>
    <w:basedOn w:val="JuSigned"/>
    <w:uiPriority w:val="31"/>
    <w:rsid w:val="001E6CA5"/>
    <w:rPr>
      <w:color w:val="FFFFFF"/>
    </w:rPr>
  </w:style>
  <w:style w:type="paragraph" w:customStyle="1" w:styleId="ECHRSpacer">
    <w:name w:val="ECHR_Spacer"/>
    <w:aliases w:val="_Spacer"/>
    <w:basedOn w:val="Normal"/>
    <w:uiPriority w:val="45"/>
    <w:semiHidden/>
    <w:rsid w:val="001E6CA5"/>
    <w:rPr>
      <w:sz w:val="4"/>
    </w:rPr>
  </w:style>
  <w:style w:type="table" w:customStyle="1" w:styleId="ECHRTableGrey">
    <w:name w:val="ECHR_Table_Grey"/>
    <w:basedOn w:val="TableNormal"/>
    <w:uiPriority w:val="99"/>
    <w:rsid w:val="001E6CA5"/>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D36951"/>
    <w:rPr>
      <w:sz w:val="24"/>
      <w:szCs w:val="24"/>
      <w:lang w:val="fr-FR"/>
    </w:rPr>
  </w:style>
  <w:style w:type="table" w:styleId="GridTable1Light">
    <w:name w:val="Grid Table 1 Light"/>
    <w:basedOn w:val="TableNormal"/>
    <w:uiPriority w:val="46"/>
    <w:semiHidden/>
    <w:rsid w:val="001E6C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E6CA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E6CA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E6CA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E6CA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E6CA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E6CA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E6C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E6CA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1E6CA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1E6CA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1E6CA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1E6CA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1E6CA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1E6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E6C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1E6C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1E6C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1E6C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1E6C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1E6C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1E6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E6C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1E6C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1E6C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1E6C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1E6C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1E6C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1E6CA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1E6C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E6CA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1E6CA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1E6CA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1E6CA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1E6CA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1E6CA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1E6CA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E6CA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1E6CA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1E6CA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1E6CA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1E6CA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1E6CA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1E6CA5"/>
    <w:rPr>
      <w:color w:val="2B579A"/>
      <w:shd w:val="clear" w:color="auto" w:fill="E1DFDD"/>
    </w:rPr>
  </w:style>
  <w:style w:type="table" w:styleId="ListTable1Light">
    <w:name w:val="List Table 1 Light"/>
    <w:basedOn w:val="TableNormal"/>
    <w:uiPriority w:val="46"/>
    <w:semiHidden/>
    <w:rsid w:val="001E6CA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E6CA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1E6CA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1E6CA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1E6CA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1E6CA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1E6CA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1E6C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E6CA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1E6CA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1E6CA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1E6CA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1E6CA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1E6CA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1E6C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E6CA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1E6CA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1E6CA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1E6CA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1E6CA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1E6CA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1E6C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E6CA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1E6CA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1E6CA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1E6CA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1E6CA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1E6CA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1E6CA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E6CA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E6CA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E6CA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E6CA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E6CA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E6CA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E6CA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E6CA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1E6CA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1E6CA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1E6CA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1E6CA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1E6CA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1E6C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E6CA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E6CA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E6CA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E6CA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E6CA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E6CA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1E6CA5"/>
    <w:rPr>
      <w:color w:val="2B579A"/>
      <w:shd w:val="clear" w:color="auto" w:fill="E1DFDD"/>
    </w:rPr>
  </w:style>
  <w:style w:type="table" w:styleId="PlainTable1">
    <w:name w:val="Plain Table 1"/>
    <w:basedOn w:val="TableNormal"/>
    <w:uiPriority w:val="41"/>
    <w:semiHidden/>
    <w:rsid w:val="001E6CA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1E6C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E6C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E6C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1E6CA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1E6CA5"/>
    <w:rPr>
      <w:u w:val="dotted"/>
    </w:rPr>
  </w:style>
  <w:style w:type="character" w:customStyle="1" w:styleId="SmartLink1">
    <w:name w:val="SmartLink1"/>
    <w:basedOn w:val="DefaultParagraphFont"/>
    <w:uiPriority w:val="99"/>
    <w:semiHidden/>
    <w:unhideWhenUsed/>
    <w:rsid w:val="001E6CA5"/>
    <w:rPr>
      <w:color w:val="0000FF"/>
      <w:u w:val="single"/>
      <w:shd w:val="clear" w:color="auto" w:fill="F3F2F1"/>
    </w:rPr>
  </w:style>
  <w:style w:type="table" w:styleId="TableGridLight">
    <w:name w:val="Grid Table Light"/>
    <w:basedOn w:val="TableNormal"/>
    <w:uiPriority w:val="40"/>
    <w:semiHidden/>
    <w:rsid w:val="001E6CA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JuNames0">
    <w:name w:val="Ju_Names"/>
    <w:rsid w:val="000B760F"/>
    <w:rPr>
      <w:smallCaps/>
    </w:rPr>
  </w:style>
  <w:style w:type="paragraph" w:customStyle="1" w:styleId="JuList4">
    <w:name w:val="Ju_List_4"/>
    <w:aliases w:val="N_Bul_4"/>
    <w:basedOn w:val="JuListi"/>
    <w:uiPriority w:val="19"/>
    <w:rsid w:val="000B760F"/>
    <w:pPr>
      <w:numPr>
        <w:ilvl w:val="0"/>
        <w:numId w:val="0"/>
      </w:numPr>
      <w:tabs>
        <w:tab w:val="num" w:pos="1701"/>
      </w:tabs>
      <w:spacing w:before="60" w:after="60" w:line="240" w:lineRule="exact"/>
      <w:ind w:left="1703" w:hanging="284"/>
      <w:contextualSpacing/>
    </w:pPr>
    <w:rPr>
      <w:sz w:val="22"/>
      <w:lang w:eastAsia="fr-FR"/>
    </w:rPr>
  </w:style>
  <w:style w:type="character" w:customStyle="1" w:styleId="JuParaCar">
    <w:name w:val="Ju_Para Car"/>
    <w:uiPriority w:val="12"/>
    <w:rsid w:val="000B760F"/>
    <w:rPr>
      <w:rFonts w:eastAsiaTheme="minorEastAsia"/>
      <w:sz w:val="24"/>
    </w:rPr>
  </w:style>
  <w:style w:type="character" w:customStyle="1" w:styleId="JuHIRomanChar">
    <w:name w:val="Ju_H_I_Roman Char"/>
    <w:link w:val="JuHIRoman"/>
    <w:uiPriority w:val="17"/>
    <w:rsid w:val="000B760F"/>
    <w:rPr>
      <w:rFonts w:asciiTheme="majorHAnsi" w:eastAsiaTheme="majorEastAsia" w:hAnsiTheme="majorHAnsi" w:cstheme="majorBidi"/>
      <w:bCs/>
      <w:caps/>
      <w:sz w:val="24"/>
      <w:szCs w:val="26"/>
      <w:lang w:val="fr-FR"/>
    </w:rPr>
  </w:style>
  <w:style w:type="paragraph" w:customStyle="1" w:styleId="ECHRParaSpaced">
    <w:name w:val="ECHR_Para_Spaced"/>
    <w:aliases w:val="Para_Spaced"/>
    <w:basedOn w:val="JuPara"/>
    <w:uiPriority w:val="5"/>
    <w:qFormat/>
    <w:rsid w:val="000B760F"/>
    <w:pPr>
      <w:spacing w:before="120" w:after="120"/>
    </w:pPr>
    <w:rPr>
      <w:lang w:val="en-GB"/>
    </w:rPr>
  </w:style>
  <w:style w:type="paragraph" w:styleId="Revision">
    <w:name w:val="Revision"/>
    <w:hidden/>
    <w:uiPriority w:val="99"/>
    <w:semiHidden/>
    <w:rsid w:val="000B760F"/>
    <w:rPr>
      <w:sz w:val="24"/>
      <w:szCs w:val="24"/>
      <w:lang w:val="fr-FR"/>
    </w:rPr>
  </w:style>
  <w:style w:type="character" w:customStyle="1" w:styleId="Bold">
    <w:name w:val="_Bold"/>
    <w:basedOn w:val="DefaultParagraphFont"/>
    <w:uiPriority w:val="1"/>
    <w:rsid w:val="000B760F"/>
    <w:rPr>
      <w:b/>
    </w:rPr>
  </w:style>
  <w:style w:type="character" w:customStyle="1" w:styleId="JuHAChar">
    <w:name w:val="Ju_H_A Char"/>
    <w:basedOn w:val="DefaultParagraphFont"/>
    <w:link w:val="JuHA"/>
    <w:uiPriority w:val="17"/>
    <w:rsid w:val="0044525D"/>
    <w:rPr>
      <w:rFonts w:asciiTheme="majorHAnsi" w:eastAsiaTheme="majorEastAsia" w:hAnsiTheme="majorHAnsi" w:cstheme="majorBidi"/>
      <w:b/>
      <w:bCs/>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359E-0150-47A2-8E97-41BC3DF7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559EA1-479E-491E-AB31-87A66263C5F5}">
  <ds:schemaRefs>
    <ds:schemaRef ds:uri="http://schemas.microsoft.com/sharepoint/v3/contenttype/forms"/>
  </ds:schemaRefs>
</ds:datastoreItem>
</file>

<file path=customXml/itemProps3.xml><?xml version="1.0" encoding="utf-8"?>
<ds:datastoreItem xmlns:ds="http://schemas.openxmlformats.org/officeDocument/2006/customXml" ds:itemID="{BAD7BB34-9677-48A8-B18B-2DEF49658678}">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7E9663-D3B7-4E18-89E2-612F04C8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9196</Words>
  <Characters>54155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2023-07-16T14:45:00Z</dcterms:created>
  <dcterms:modified xsi:type="dcterms:W3CDTF">2023-07-18T13:51:00Z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28383/20</vt:lpwstr>
  </property>
  <property fmtid="{D5CDD505-2E9C-101B-9397-08002B2CF9AE}" pid="4" name="CASEID">
    <vt:lpwstr>1551876</vt:lpwstr>
  </property>
  <property fmtid="{D5CDD505-2E9C-101B-9397-08002B2CF9AE}" pid="5" name="ContentTypeId">
    <vt:lpwstr>0x010100558EB02BDB9E204AB350EDD385B68E10</vt:lpwstr>
  </property>
  <property fmtid="{D5CDD505-2E9C-101B-9397-08002B2CF9AE}" pid="6" name="_MarkAsFinal">
    <vt:bool>true</vt:bool>
  </property>
</Properties>
</file>